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441BC" w14:textId="47AB01CE" w:rsidR="003872B9" w:rsidRDefault="0073353F" w:rsidP="00C577EB">
      <w:pPr>
        <w:pStyle w:val="Ttulo"/>
        <w:keepNext/>
        <w:spacing w:after="240"/>
        <w:jc w:val="both"/>
        <w:rPr>
          <w:b/>
          <w:bCs/>
          <w:szCs w:val="24"/>
        </w:rPr>
      </w:pPr>
      <w:r w:rsidRPr="00325423">
        <w:rPr>
          <w:b/>
          <w:bCs/>
          <w:szCs w:val="24"/>
        </w:rPr>
        <w:t>A REPAVIMENTAÇÃO DA BR-319 E A TUTELA DOS DIREITOS FUNDAMENTAIS NA AMAZÔNIA: DIGNIDADE DA PESSOA HUMANA, DIREITO DE IR E VIR E ACESSO À JUSTIÇA SOB A PERSPECTIVA DO SISTEMA INTERAMERICANO DE DIREITOS HUMANOS</w:t>
      </w:r>
      <w:r w:rsidR="00C577EB">
        <w:rPr>
          <w:b/>
          <w:bCs/>
          <w:szCs w:val="24"/>
        </w:rPr>
        <w:t>.</w:t>
      </w:r>
    </w:p>
    <w:p w14:paraId="1F9AA6BC" w14:textId="77777777" w:rsidR="000C593C" w:rsidRPr="00C577EB" w:rsidRDefault="000C593C" w:rsidP="00B63A1B">
      <w:pPr>
        <w:spacing w:line="240" w:lineRule="auto"/>
        <w:jc w:val="center"/>
        <w:rPr>
          <w:i/>
          <w:iCs/>
          <w:color w:val="808080" w:themeColor="background1" w:themeShade="80"/>
          <w:sz w:val="26"/>
          <w:szCs w:val="26"/>
          <w:lang w:val="en-US"/>
        </w:rPr>
      </w:pPr>
      <w:r w:rsidRPr="00C577EB">
        <w:rPr>
          <w:i/>
          <w:iCs/>
          <w:sz w:val="26"/>
          <w:szCs w:val="26"/>
          <w:lang w:val="en"/>
        </w:rPr>
        <w:t>The Repaving of BR-319 and the Protection of Fundamental Rights in the Amazon: Human Dignity, Freedom of Movement, and Access to Justice from the Perspective of the Inter-American Human Rights System</w:t>
      </w:r>
    </w:p>
    <w:p w14:paraId="4A604538" w14:textId="77777777" w:rsidR="00B63A1B" w:rsidRPr="00B63A1B" w:rsidRDefault="00B63A1B" w:rsidP="004C2B39">
      <w:pPr>
        <w:spacing w:line="240" w:lineRule="auto"/>
        <w:jc w:val="right"/>
        <w:rPr>
          <w:b/>
          <w:bCs/>
          <w:lang w:val="en-US"/>
        </w:rPr>
      </w:pPr>
    </w:p>
    <w:p w14:paraId="34D32A0E" w14:textId="77777777" w:rsidR="00B63A1B" w:rsidRPr="00C577EB" w:rsidRDefault="00B63A1B" w:rsidP="004C2B39">
      <w:pPr>
        <w:spacing w:line="240" w:lineRule="auto"/>
        <w:jc w:val="right"/>
        <w:rPr>
          <w:b/>
          <w:bCs/>
          <w:lang w:val="en-US"/>
        </w:rPr>
      </w:pPr>
    </w:p>
    <w:p w14:paraId="0AFB412F" w14:textId="6B83A80F" w:rsidR="004C2B39" w:rsidRPr="00B63A1B" w:rsidRDefault="004C2B39" w:rsidP="004C2B39">
      <w:pPr>
        <w:spacing w:line="240" w:lineRule="auto"/>
        <w:jc w:val="right"/>
        <w:rPr>
          <w:b/>
          <w:bCs/>
        </w:rPr>
      </w:pPr>
      <w:r w:rsidRPr="00B63A1B">
        <w:rPr>
          <w:b/>
          <w:bCs/>
        </w:rPr>
        <w:t>Fábio Ferreira Medeiros</w:t>
      </w:r>
      <w:r w:rsidRPr="00B63A1B">
        <w:rPr>
          <w:b/>
          <w:bCs/>
          <w:vertAlign w:val="superscript"/>
        </w:rPr>
        <w:footnoteReference w:id="1"/>
      </w:r>
    </w:p>
    <w:p w14:paraId="6400551B" w14:textId="1B9F57E6" w:rsidR="004C2B39" w:rsidRPr="00B63A1B" w:rsidRDefault="004C2B39" w:rsidP="004C2B39">
      <w:pPr>
        <w:spacing w:line="240" w:lineRule="auto"/>
        <w:jc w:val="right"/>
        <w:rPr>
          <w:b/>
          <w:bCs/>
        </w:rPr>
      </w:pPr>
      <w:r w:rsidRPr="00B63A1B">
        <w:rPr>
          <w:b/>
          <w:bCs/>
        </w:rPr>
        <w:t>Mauro Augusto Ponce de Leão Braga</w:t>
      </w:r>
      <w:r w:rsidRPr="00B63A1B">
        <w:rPr>
          <w:b/>
          <w:bCs/>
          <w:vertAlign w:val="superscript"/>
        </w:rPr>
        <w:footnoteReference w:id="2"/>
      </w:r>
    </w:p>
    <w:p w14:paraId="7BCDCD03" w14:textId="6581FE3C" w:rsidR="00D27A1C" w:rsidRPr="00B63A1B" w:rsidRDefault="00D27A1C" w:rsidP="00D27A1C">
      <w:pPr>
        <w:spacing w:line="240" w:lineRule="auto"/>
        <w:jc w:val="right"/>
        <w:rPr>
          <w:b/>
          <w:bCs/>
        </w:rPr>
      </w:pPr>
      <w:r w:rsidRPr="00B63A1B">
        <w:rPr>
          <w:b/>
          <w:bCs/>
        </w:rPr>
        <w:t>Adriano Fernandes Ferreira</w:t>
      </w:r>
      <w:r w:rsidRPr="00B63A1B">
        <w:rPr>
          <w:b/>
          <w:bCs/>
          <w:vertAlign w:val="superscript"/>
        </w:rPr>
        <w:footnoteReference w:id="3"/>
      </w:r>
    </w:p>
    <w:p w14:paraId="213EF4FC" w14:textId="03F86692" w:rsidR="004C2B39" w:rsidRPr="00B63A1B" w:rsidRDefault="004C2B39" w:rsidP="004C2B39">
      <w:pPr>
        <w:spacing w:line="240" w:lineRule="auto"/>
        <w:jc w:val="right"/>
        <w:rPr>
          <w:b/>
          <w:bCs/>
        </w:rPr>
      </w:pPr>
      <w:proofErr w:type="spellStart"/>
      <w:r w:rsidRPr="00B63A1B">
        <w:rPr>
          <w:b/>
          <w:bCs/>
        </w:rPr>
        <w:t>Bianka</w:t>
      </w:r>
      <w:proofErr w:type="spellEnd"/>
      <w:r w:rsidRPr="00B63A1B">
        <w:rPr>
          <w:b/>
          <w:bCs/>
        </w:rPr>
        <w:t xml:space="preserve"> </w:t>
      </w:r>
      <w:proofErr w:type="spellStart"/>
      <w:r w:rsidRPr="00B63A1B">
        <w:rPr>
          <w:b/>
          <w:bCs/>
        </w:rPr>
        <w:t>Caelli</w:t>
      </w:r>
      <w:proofErr w:type="spellEnd"/>
      <w:r w:rsidRPr="00B63A1B">
        <w:rPr>
          <w:b/>
          <w:bCs/>
        </w:rPr>
        <w:t xml:space="preserve"> Barreto Rodrigues</w:t>
      </w:r>
      <w:r w:rsidRPr="00B63A1B">
        <w:rPr>
          <w:b/>
          <w:bCs/>
          <w:vertAlign w:val="superscript"/>
        </w:rPr>
        <w:footnoteReference w:id="4"/>
      </w:r>
    </w:p>
    <w:p w14:paraId="07493BFF" w14:textId="77777777" w:rsidR="004C2B39" w:rsidRPr="00B63A1B" w:rsidRDefault="004C2B39" w:rsidP="004C2B39">
      <w:pPr>
        <w:spacing w:line="240" w:lineRule="auto"/>
        <w:jc w:val="right"/>
        <w:rPr>
          <w:b/>
          <w:bCs/>
        </w:rPr>
      </w:pPr>
      <w:r w:rsidRPr="00B63A1B">
        <w:rPr>
          <w:b/>
          <w:bCs/>
        </w:rPr>
        <w:t>Rian Carlos dos Santos Pereira</w:t>
      </w:r>
      <w:r w:rsidRPr="00B63A1B">
        <w:rPr>
          <w:b/>
          <w:bCs/>
          <w:vertAlign w:val="superscript"/>
        </w:rPr>
        <w:footnoteReference w:id="5"/>
      </w:r>
    </w:p>
    <w:p w14:paraId="1F8F4DF3" w14:textId="77777777" w:rsidR="003872B9" w:rsidRDefault="0073353F">
      <w:pPr>
        <w:pStyle w:val="Ttulo1"/>
        <w:keepNext/>
        <w:spacing w:before="240" w:after="120" w:line="360" w:lineRule="auto"/>
      </w:pPr>
      <w:r>
        <w:rPr>
          <w:b/>
          <w:bCs/>
          <w:szCs w:val="24"/>
        </w:rPr>
        <w:t>RESUMO</w:t>
      </w:r>
    </w:p>
    <w:p w14:paraId="57AE327A" w14:textId="77777777" w:rsidR="003872B9" w:rsidRPr="00B63A1B" w:rsidRDefault="0073353F" w:rsidP="00173BB9">
      <w:pPr>
        <w:spacing w:line="240" w:lineRule="auto"/>
        <w:jc w:val="both"/>
        <w:rPr>
          <w:sz w:val="22"/>
          <w:szCs w:val="18"/>
        </w:rPr>
      </w:pPr>
      <w:r w:rsidRPr="00B63A1B">
        <w:rPr>
          <w:sz w:val="22"/>
          <w:szCs w:val="22"/>
        </w:rPr>
        <w:t>O presente artigo analisa os impactos ambientais e sociais decorrentes da repavimentação da Rodovia BR-319, no estado do Amazonas, à luz dos princípios constitucionais da dignidade da pessoa humana e do direito de ir e vir, articulados com o arcabouço normativo internacional de proteção aos direitos humanos e ao meio ambiente. Parte-se da premissa de que a rodovia, ao mesmo tempo em que representa via de integração regional e de acesso a bens e serviços essenciais, produz efeitos deletérios sobre comunidades tradicionais, povos indígenas e o bioma amazônico, exigindo respostas jurídicas que conciliem desenvolvimento e sustentabilidade. Utiliza</w:t>
      </w:r>
      <w:r w:rsidR="00941842" w:rsidRPr="00B63A1B">
        <w:rPr>
          <w:sz w:val="22"/>
          <w:szCs w:val="22"/>
        </w:rPr>
        <w:t>-</w:t>
      </w:r>
      <w:r w:rsidRPr="00B63A1B">
        <w:rPr>
          <w:sz w:val="22"/>
          <w:szCs w:val="22"/>
        </w:rPr>
        <w:t>se metodologia de revisão bibliográfica, com apoio em doutrina nacional e estrangeira, tratados internacionais e precedentes do Sistema Interamericano de Direitos Humanos. Discute</w:t>
      </w:r>
      <w:r w:rsidR="008338CA" w:rsidRPr="00B63A1B">
        <w:rPr>
          <w:sz w:val="22"/>
          <w:szCs w:val="22"/>
        </w:rPr>
        <w:t>-</w:t>
      </w:r>
      <w:r w:rsidRPr="00B63A1B">
        <w:rPr>
          <w:sz w:val="22"/>
          <w:szCs w:val="22"/>
        </w:rPr>
        <w:t xml:space="preserve">se, ainda, o acesso à justiça como instrumento de efetivação de direitos das populações vulneráveis amazonenses, bem como o papel do Acordo de </w:t>
      </w:r>
      <w:proofErr w:type="spellStart"/>
      <w:r w:rsidRPr="00B63A1B">
        <w:rPr>
          <w:sz w:val="22"/>
          <w:szCs w:val="22"/>
        </w:rPr>
        <w:t>Escazú</w:t>
      </w:r>
      <w:proofErr w:type="spellEnd"/>
      <w:r w:rsidRPr="00B63A1B">
        <w:rPr>
          <w:sz w:val="22"/>
          <w:szCs w:val="22"/>
        </w:rPr>
        <w:t xml:space="preserve"> e da litigância climática na proteção ambiental do Sul Global. Conclui</w:t>
      </w:r>
      <w:r w:rsidR="00494E25" w:rsidRPr="00B63A1B">
        <w:rPr>
          <w:sz w:val="22"/>
          <w:szCs w:val="22"/>
        </w:rPr>
        <w:t>-</w:t>
      </w:r>
      <w:r w:rsidRPr="00B63A1B">
        <w:rPr>
          <w:sz w:val="22"/>
          <w:szCs w:val="22"/>
        </w:rPr>
        <w:t>se pela necessidade de um licenciamento ambiental rigoroso, de participação social efetiva e de fortalecimento dos mecanismos de acesso à justiça como condições indispensáveis à legitimidade da obra.</w:t>
      </w:r>
    </w:p>
    <w:p w14:paraId="237B2CF7" w14:textId="77777777" w:rsidR="00C577EB" w:rsidRDefault="00C577EB" w:rsidP="00E07472">
      <w:pPr>
        <w:spacing w:after="120" w:line="240" w:lineRule="auto"/>
        <w:jc w:val="both"/>
        <w:rPr>
          <w:b/>
          <w:bCs/>
          <w:szCs w:val="24"/>
        </w:rPr>
      </w:pPr>
    </w:p>
    <w:p w14:paraId="50D34BEF" w14:textId="1E1B96F6" w:rsidR="00E07472" w:rsidRPr="00E07472" w:rsidRDefault="0073353F" w:rsidP="00E07472">
      <w:pPr>
        <w:spacing w:after="120" w:line="240" w:lineRule="auto"/>
        <w:jc w:val="both"/>
        <w:rPr>
          <w:szCs w:val="24"/>
        </w:rPr>
      </w:pPr>
      <w:r w:rsidRPr="00B63A1B">
        <w:rPr>
          <w:b/>
          <w:bCs/>
          <w:szCs w:val="24"/>
        </w:rPr>
        <w:t>Palavras-chave:</w:t>
      </w:r>
      <w:r w:rsidR="00E07472">
        <w:rPr>
          <w:szCs w:val="24"/>
        </w:rPr>
        <w:t xml:space="preserve"> </w:t>
      </w:r>
      <w:r w:rsidR="00E07472" w:rsidRPr="00E07472">
        <w:rPr>
          <w:szCs w:val="24"/>
        </w:rPr>
        <w:t>BR-319; dignidade da pessoa humana; direito de ir e vir; Amazônia; direitos humanos.</w:t>
      </w:r>
    </w:p>
    <w:p w14:paraId="5514F2F4" w14:textId="77777777" w:rsidR="003872B9" w:rsidRPr="00B63A1B" w:rsidRDefault="0073353F">
      <w:pPr>
        <w:pStyle w:val="Ttulo1"/>
        <w:keepNext/>
        <w:spacing w:before="240" w:after="120" w:line="360" w:lineRule="auto"/>
        <w:rPr>
          <w:lang w:val="en-US"/>
        </w:rPr>
      </w:pPr>
      <w:r w:rsidRPr="00B63A1B">
        <w:rPr>
          <w:b/>
          <w:bCs/>
          <w:szCs w:val="24"/>
          <w:lang w:val="en-US"/>
        </w:rPr>
        <w:lastRenderedPageBreak/>
        <w:t>ABSTRACT</w:t>
      </w:r>
    </w:p>
    <w:p w14:paraId="1FB96065" w14:textId="77777777" w:rsidR="003872B9" w:rsidRPr="00B63A1B" w:rsidRDefault="0073353F" w:rsidP="00173BB9">
      <w:pPr>
        <w:spacing w:line="240" w:lineRule="auto"/>
        <w:jc w:val="both"/>
        <w:rPr>
          <w:sz w:val="22"/>
          <w:szCs w:val="22"/>
          <w:lang w:val="en-US"/>
        </w:rPr>
      </w:pPr>
      <w:r w:rsidRPr="00B63A1B">
        <w:rPr>
          <w:sz w:val="22"/>
          <w:szCs w:val="22"/>
          <w:lang w:val="en-US"/>
        </w:rPr>
        <w:t xml:space="preserve">This article analyzes the environmental and social impacts arising from the repaving of Highway BR-319, in the state of Amazonas, Brazil, </w:t>
      </w:r>
      <w:proofErr w:type="gramStart"/>
      <w:r w:rsidRPr="00B63A1B">
        <w:rPr>
          <w:sz w:val="22"/>
          <w:szCs w:val="22"/>
          <w:lang w:val="en-US"/>
        </w:rPr>
        <w:t>in light of</w:t>
      </w:r>
      <w:proofErr w:type="gramEnd"/>
      <w:r w:rsidRPr="00B63A1B">
        <w:rPr>
          <w:sz w:val="22"/>
          <w:szCs w:val="22"/>
          <w:lang w:val="en-US"/>
        </w:rPr>
        <w:t xml:space="preserve"> the constitutional principles of human dignity and freedom of movement, articulated with the international normative framework for the protection of human rights and the environment. It starts from the premise that the highway, while representing a route for regional integration and access to essential goods and services, produces deleterious effects on traditional communities, indigenous peoples and the Amazon biome, demanding legal responses that reconcile development and sustainability. A bibliographic review methodology is used, supported by national and foreign doctrine, international treaties and precedents from the Inter-American Human Rights System. The article also discusses access to justice as an instrument for the realization of the rights of vulnerable populations in Amazonas, as well as the role of the Escazú Agreement and climate litigation in environmental protection in the Global South. It concludes that rigorous environmental licensing, effective social participation and strengthened mechanisms of access to justice are indispensable conditions for the legitimacy of the project.</w:t>
      </w:r>
    </w:p>
    <w:p w14:paraId="5D91B72E" w14:textId="77777777" w:rsidR="00B63A1B" w:rsidRPr="00B63A1B" w:rsidRDefault="00B63A1B" w:rsidP="00173BB9">
      <w:pPr>
        <w:spacing w:line="240" w:lineRule="auto"/>
        <w:jc w:val="both"/>
        <w:rPr>
          <w:lang w:val="en-US"/>
        </w:rPr>
      </w:pPr>
    </w:p>
    <w:p w14:paraId="25B3CFCB" w14:textId="77777777" w:rsidR="003872B9" w:rsidRDefault="0073353F" w:rsidP="00173BB9">
      <w:pPr>
        <w:spacing w:after="120" w:line="240" w:lineRule="auto"/>
        <w:jc w:val="both"/>
        <w:rPr>
          <w:szCs w:val="24"/>
          <w:lang w:val="en-US"/>
        </w:rPr>
      </w:pPr>
      <w:r w:rsidRPr="00B63A1B">
        <w:rPr>
          <w:b/>
          <w:bCs/>
          <w:szCs w:val="24"/>
          <w:lang w:val="en-US"/>
        </w:rPr>
        <w:t>Keywords:</w:t>
      </w:r>
      <w:r w:rsidRPr="00B63A1B">
        <w:rPr>
          <w:szCs w:val="24"/>
          <w:lang w:val="en-US"/>
        </w:rPr>
        <w:t xml:space="preserve"> </w:t>
      </w:r>
      <w:r w:rsidR="001D5F27" w:rsidRPr="00B63A1B">
        <w:rPr>
          <w:szCs w:val="24"/>
          <w:lang w:val="en-US"/>
        </w:rPr>
        <w:t>BR-319 highway; human dignity; freedom of movement; Amazon; human rights.</w:t>
      </w:r>
    </w:p>
    <w:p w14:paraId="636B3A9E" w14:textId="77777777" w:rsidR="00B63A1B" w:rsidRPr="00B63A1B" w:rsidRDefault="00B63A1B" w:rsidP="00173BB9">
      <w:pPr>
        <w:spacing w:after="120" w:line="240" w:lineRule="auto"/>
        <w:jc w:val="both"/>
        <w:rPr>
          <w:lang w:val="en-US"/>
        </w:rPr>
      </w:pPr>
    </w:p>
    <w:p w14:paraId="7E37750F" w14:textId="77777777" w:rsidR="003872B9" w:rsidRPr="00173BB9" w:rsidRDefault="0073353F">
      <w:pPr>
        <w:pStyle w:val="Ttulo1"/>
        <w:keepNext/>
        <w:spacing w:before="240" w:after="120" w:line="360" w:lineRule="auto"/>
        <w:rPr>
          <w:color w:val="1A1A1A" w:themeColor="background1" w:themeShade="1A"/>
        </w:rPr>
      </w:pPr>
      <w:r w:rsidRPr="00173BB9">
        <w:rPr>
          <w:b/>
          <w:bCs/>
          <w:szCs w:val="28"/>
        </w:rPr>
        <w:t>1 INTRODUÇÃO</w:t>
      </w:r>
    </w:p>
    <w:p w14:paraId="3092CA3E" w14:textId="77777777" w:rsidR="003872B9" w:rsidRDefault="0073353F">
      <w:pPr>
        <w:ind w:firstLine="709"/>
        <w:jc w:val="both"/>
      </w:pPr>
      <w:r>
        <w:t>A Rodovia BR-319, que liga as cidades de Manaus e Porto Velho, constitui um dos empreendimentos rodoviários mais controversos da história recente da política de infraestrutura brasileira, pois atravessa uma das áreas de maior relevância ecológica do planeta. Sua repavimentação, retomada com força a partir de meados da década de 2020, reacende antigos debates sobre o modelo de desenvolvimento que se pretende para a Amazônia, opondo interesses econômicos e logísticos a imperativos de conservação ambiental e de proteção dos povos que habitam a região (Ferreira, 2023).</w:t>
      </w:r>
    </w:p>
    <w:p w14:paraId="0A6587DD" w14:textId="77777777" w:rsidR="003872B9" w:rsidRDefault="0073353F">
      <w:pPr>
        <w:ind w:firstLine="709"/>
        <w:jc w:val="both"/>
      </w:pPr>
      <w:r>
        <w:t>O tema ganha relevância jurídica porque a discussão ultrapassa os aspectos técnicos e orçamentários e envolve princípios fundamentais do ordenamento constitucional brasileiro, notadamente a dignidade da pessoa humana e o direito de ir e vir, previstos respectivamente nos artigos 1º, inciso III, e 5º, inciso XV, da Constituição Federal. A rodovia, ao conectar populações historicamente isoladas aos grandes centros urbanos, promete ampliar o acesso a serviços de saúde, educação e justiça, ao mesmo tempo em que ameaça desencadear processos de desmatamento, grilagem de terras e violação de territórios tradicionais.</w:t>
      </w:r>
    </w:p>
    <w:p w14:paraId="7419ECDE" w14:textId="77777777" w:rsidR="003872B9" w:rsidRDefault="0073353F">
      <w:pPr>
        <w:ind w:firstLine="709"/>
        <w:jc w:val="both"/>
      </w:pPr>
      <w:r>
        <w:t xml:space="preserve">Nesse contexto, a pesquisa parte da seguinte questão: em que medida a repavimentação da BR-319 pode ser conduzida de forma compatível com a tutela da dignidade da pessoa humana, do direito de ir e vir e da proteção ambiental, sem que a expansão da infraestrutura rodoviária se converta em vetor de violação de direitos das populações vulneráveis </w:t>
      </w:r>
      <w:r>
        <w:lastRenderedPageBreak/>
        <w:t>amazonenses? A hipótese central é que um modelo de desenvolvimento pautado pela participação social, pelo licenciamento ambiental rigoroso e pelo fortalecimento do acesso à justiça pode conferir legitimidade jurídica ao empreendimento.</w:t>
      </w:r>
    </w:p>
    <w:p w14:paraId="21A0FAB5" w14:textId="77777777" w:rsidR="003872B9" w:rsidRDefault="0073353F">
      <w:pPr>
        <w:ind w:firstLine="709"/>
        <w:jc w:val="both"/>
      </w:pPr>
      <w:r>
        <w:rPr>
          <w:szCs w:val="24"/>
        </w:rPr>
        <w:t>O objetivo geral do trabalho consiste em examinar os impactos socioambientais da obra à luz do direito constitucional e do direito internacional dos direitos humanos, articulando a doutrina nacional produzida sobre o tema com o instrumental teórico do Sistema Interamericano de Direitos Humanos e da democracia ambiental. Como objetivos específicos, pretende</w:t>
      </w:r>
      <w:r w:rsidR="00CD2FEF">
        <w:rPr>
          <w:szCs w:val="24"/>
        </w:rPr>
        <w:t>-</w:t>
      </w:r>
      <w:r>
        <w:rPr>
          <w:szCs w:val="24"/>
        </w:rPr>
        <w:t xml:space="preserve">se investigar a relação entre acesso à justiça e proteção dos vulneráveis no contexto amazonense, analisar o papel do Acordo de </w:t>
      </w:r>
      <w:proofErr w:type="spellStart"/>
      <w:r>
        <w:rPr>
          <w:szCs w:val="24"/>
        </w:rPr>
        <w:t>Escazú</w:t>
      </w:r>
      <w:proofErr w:type="spellEnd"/>
      <w:r>
        <w:rPr>
          <w:szCs w:val="24"/>
        </w:rPr>
        <w:t xml:space="preserve"> e da litigância climática na tutela ambiental do Sul Global, e discutir o constitucionalismo democrático como instrumento de contenção de retrocessos em matéria de direitos fundamentais.</w:t>
      </w:r>
    </w:p>
    <w:p w14:paraId="37BEC78C" w14:textId="77777777" w:rsidR="003872B9" w:rsidRDefault="0073353F">
      <w:pPr>
        <w:ind w:firstLine="709"/>
        <w:jc w:val="both"/>
      </w:pPr>
      <w:r>
        <w:rPr>
          <w:szCs w:val="24"/>
        </w:rPr>
        <w:t>A escolha do tema justifica</w:t>
      </w:r>
      <w:r w:rsidR="00941842">
        <w:rPr>
          <w:szCs w:val="24"/>
        </w:rPr>
        <w:t>-</w:t>
      </w:r>
      <w:r>
        <w:rPr>
          <w:szCs w:val="24"/>
        </w:rPr>
        <w:t xml:space="preserve">se pela atualidade e pela urgência da discussão, considerando que a repavimentação da BR-319 </w:t>
      </w:r>
      <w:r w:rsidR="002A4207">
        <w:rPr>
          <w:szCs w:val="24"/>
        </w:rPr>
        <w:t>se encontra</w:t>
      </w:r>
      <w:r>
        <w:rPr>
          <w:szCs w:val="24"/>
        </w:rPr>
        <w:t xml:space="preserve"> atualmente em curso e produz efeitos concretos sobre comunidades indígenas, ribeirinhas e ambientalmente vulneráveis, cuja voz frequentemente não encontra eco nos processos decisórios que definem o destino da região. Trata</w:t>
      </w:r>
      <w:r w:rsidR="00461402">
        <w:rPr>
          <w:szCs w:val="24"/>
        </w:rPr>
        <w:t>-</w:t>
      </w:r>
      <w:r>
        <w:rPr>
          <w:szCs w:val="24"/>
        </w:rPr>
        <w:t>se, portanto, de tema que exige investigação jurídica comprometida com a realidade amazônica e com os desafios próprios de uma região marcada por desigualdades históricas de acesso a direitos.</w:t>
      </w:r>
    </w:p>
    <w:p w14:paraId="2CFA1EE0" w14:textId="77777777" w:rsidR="003872B9" w:rsidRDefault="0073353F">
      <w:pPr>
        <w:ind w:firstLine="709"/>
        <w:jc w:val="both"/>
      </w:pPr>
      <w:r>
        <w:rPr>
          <w:szCs w:val="24"/>
        </w:rPr>
        <w:t>Do ponto de vista metodológico, a pesquisa adota abordagem qualitativa, de natureza bibliográfica e documental, valendo</w:t>
      </w:r>
      <w:r w:rsidR="00AB3AB8">
        <w:rPr>
          <w:szCs w:val="24"/>
        </w:rPr>
        <w:t>-</w:t>
      </w:r>
      <w:r>
        <w:rPr>
          <w:szCs w:val="24"/>
        </w:rPr>
        <w:t>se de doutrina especializada em direito ambiental, direito constitucional e direitos humanos, além de tratados e relatórios internacionais pertinentes ao tema. A análise busca articular referenciais teóricos nacionais e estrangeiros, de modo a construir um panorama abrangente sobre os desafios jurídicos suscitados pela obra rodoviária.</w:t>
      </w:r>
    </w:p>
    <w:p w14:paraId="127F4920" w14:textId="77777777" w:rsidR="003872B9" w:rsidRDefault="0073353F">
      <w:pPr>
        <w:ind w:firstLine="709"/>
        <w:jc w:val="both"/>
      </w:pPr>
      <w:r>
        <w:rPr>
          <w:szCs w:val="24"/>
        </w:rPr>
        <w:t>O artigo estrutura</w:t>
      </w:r>
      <w:r w:rsidR="00AB3AB8">
        <w:rPr>
          <w:szCs w:val="24"/>
        </w:rPr>
        <w:t>-</w:t>
      </w:r>
      <w:r>
        <w:rPr>
          <w:szCs w:val="24"/>
        </w:rPr>
        <w:t xml:space="preserve">se em quatro eixos temáticos que compõem a fundamentação teórica. O primeiro eixo examina a relação entre o direito de ir e vir, a dignidade da pessoa humana e os impactos socioambientais concretos da repavimentação da BR-319, com apoio na literatura especializada sobre a região amazônica. O segundo eixo aborda o acesso à justiça como instrumento de proteção das populações vulneráveis, explorando as particularidades do </w:t>
      </w:r>
      <w:r w:rsidRPr="00B63A1B">
        <w:rPr>
          <w:i/>
          <w:iCs/>
          <w:szCs w:val="24"/>
        </w:rPr>
        <w:t xml:space="preserve">jus </w:t>
      </w:r>
      <w:proofErr w:type="spellStart"/>
      <w:r w:rsidRPr="00B63A1B">
        <w:rPr>
          <w:i/>
          <w:iCs/>
          <w:szCs w:val="24"/>
        </w:rPr>
        <w:t>postulandi</w:t>
      </w:r>
      <w:proofErr w:type="spellEnd"/>
      <w:r>
        <w:rPr>
          <w:szCs w:val="24"/>
        </w:rPr>
        <w:t xml:space="preserve"> no contexto amazonense e o microssistema processual de proteção dos vulneráveis.</w:t>
      </w:r>
    </w:p>
    <w:p w14:paraId="38250A9F" w14:textId="77777777" w:rsidR="003872B9" w:rsidRDefault="0073353F">
      <w:pPr>
        <w:ind w:firstLine="709"/>
        <w:jc w:val="both"/>
      </w:pPr>
      <w:r>
        <w:t xml:space="preserve">O terceiro eixo dedica-se à análise da democracia ambiental, do Acordo de Escazú e da litigância climática enquanto mecanismos de tutela ambiental voltados às realidades do Sul Global, historicamente marginalizadas nos debates internacionais sobre mudanças climáticas. </w:t>
      </w:r>
      <w:r>
        <w:lastRenderedPageBreak/>
        <w:t>O quarto eixo, por fim, examina o papel do Sistema Interamericano de Direitos Humanos e do constitucionalismo democrático como instrumentos de contenção de retrocessos autoritários em matéria de direitos fundamentais e ambientais.</w:t>
      </w:r>
    </w:p>
    <w:p w14:paraId="00153FDF" w14:textId="77777777" w:rsidR="003872B9" w:rsidRDefault="0073353F">
      <w:pPr>
        <w:ind w:firstLine="709"/>
        <w:jc w:val="both"/>
      </w:pPr>
      <w:r>
        <w:t>A relevância acadêmica do trabalho reside na tentativa de construir diálogo interdisciplinar entre o direito constitucional, o direito ambiental, o direito processual e o direito internacional dos direitos humanos, tomando como fio condutor um caso concreto e territorialmente situado. Ao mesmo tempo, a pesquisa pretende contribuir para a compreensão de que os grandes empreendimentos de infraestrutura na Amazônia não podem ser avaliados apenas sob a ótica econômica, mas devem submeter-se ao crivo dos direitos fundamentais e da proteção ambiental.</w:t>
      </w:r>
    </w:p>
    <w:p w14:paraId="4A3FF3C6" w14:textId="77777777" w:rsidR="003872B9" w:rsidRDefault="0073353F">
      <w:pPr>
        <w:ind w:firstLine="709"/>
        <w:jc w:val="both"/>
      </w:pPr>
      <w:r>
        <w:t>Sob o aspecto social, a pesquisa dialoga diretamente com a realidade de milhares de famílias que residem ao longo do chamado trecho do meio da BR-319, área ainda não pavimentada e de difícil acesso, onde a ausência de infraestrutura convive com riquíssima diversidade socioambiental. A forma como o Estado brasileiro conduzirá a obra terá reflexos diretos sobre a vida dessas populações, o que reforça a pertinência de uma análise jurídica cuidadosa e multidimensional.</w:t>
      </w:r>
    </w:p>
    <w:p w14:paraId="1277E1C1" w14:textId="77777777" w:rsidR="003872B9" w:rsidRDefault="0073353F">
      <w:pPr>
        <w:ind w:firstLine="709"/>
        <w:jc w:val="both"/>
      </w:pPr>
      <w:r>
        <w:rPr>
          <w:szCs w:val="24"/>
        </w:rPr>
        <w:t>Adicionalmente, a pesquisa busca evidenciar que o debate sobre a BR-319 não pode ser dissociado das discussões mais amplas sobre justiça climática e vulnerabilidade estrutural, uma vez que a Amazônia ocupa posição central nas estratégias globais de mitigação das mudanças climáticas, ao passo que as populações locais permanecem frequentemente alijadas dos processos decisórios que definem o futuro do território em que vivem.</w:t>
      </w:r>
    </w:p>
    <w:p w14:paraId="1C1C5CAB" w14:textId="77777777" w:rsidR="003872B9" w:rsidRDefault="0073353F">
      <w:pPr>
        <w:ind w:firstLine="709"/>
        <w:jc w:val="both"/>
      </w:pPr>
      <w:r>
        <w:rPr>
          <w:szCs w:val="24"/>
        </w:rPr>
        <w:t>Por fim, cumpre destacar que o presente trabalho não pretende esgotar a complexidade do tema, mas oferecer contribuição crítica e fundamentada, capaz de subsidiar reflexões futuras sobre os limites jurídicos que devem orientar a expansão de infraestrutura na Amazônia, sempre em consonância com os compromissos constitucionais e internacionais assumidos pelo Estado brasileiro em matéria de direitos humanos e proteção ambiental.</w:t>
      </w:r>
    </w:p>
    <w:p w14:paraId="071BBE67" w14:textId="77777777" w:rsidR="003872B9" w:rsidRPr="00173BB9" w:rsidRDefault="0073353F">
      <w:pPr>
        <w:pStyle w:val="Ttulo1"/>
        <w:keepNext/>
        <w:spacing w:before="240" w:after="120" w:line="360" w:lineRule="auto"/>
        <w:rPr>
          <w:color w:val="1A1A1A" w:themeColor="background1" w:themeShade="1A"/>
        </w:rPr>
      </w:pPr>
      <w:r w:rsidRPr="00173BB9">
        <w:rPr>
          <w:b/>
          <w:bCs/>
          <w:szCs w:val="28"/>
        </w:rPr>
        <w:lastRenderedPageBreak/>
        <w:t>2 FUNDAMENTAÇÃO TEÓRICA</w:t>
      </w:r>
    </w:p>
    <w:p w14:paraId="4E642453" w14:textId="77777777" w:rsidR="003872B9" w:rsidRPr="00173BB9" w:rsidRDefault="0073353F">
      <w:pPr>
        <w:pStyle w:val="Ttulo2"/>
        <w:keepNext/>
        <w:spacing w:before="240" w:after="120" w:line="360" w:lineRule="auto"/>
        <w:rPr>
          <w:color w:val="1A1A1A" w:themeColor="background1" w:themeShade="1A"/>
        </w:rPr>
      </w:pPr>
      <w:r w:rsidRPr="00173BB9">
        <w:rPr>
          <w:b/>
          <w:bCs/>
        </w:rPr>
        <w:t>2.1 Direito de ir e vir, dignidade da pessoa humana e os impactos socioambientais da BR-319</w:t>
      </w:r>
    </w:p>
    <w:p w14:paraId="72D252C0" w14:textId="77777777" w:rsidR="003872B9" w:rsidRDefault="0073353F">
      <w:pPr>
        <w:ind w:firstLine="709"/>
        <w:jc w:val="both"/>
      </w:pPr>
      <w:r>
        <w:t>O direito de ir e vir, consagrado no artigo 5º, inciso XV, da Constituição Federal, assegura a todo cidadão a livre circulação em território nacional, em tempo de paz, permitindo que ele nele entre, permaneça ou dele saia com seus bens. Trata-se de garantia fundamental intimamente relacionada à liberdade individual e ao pleno exercício da cidadania, pois a impossibilidade de deslocamento compromete o acesso a direitos essenciais, como saúde, educação, trabalho e justiça. No contexto amazônico, essa garantia assume contornos particulares, uma vez que vastas extensões territoriais permanecem desprovidas de vias de acesso adequadas, isolando comunidades inteiras dos centros urbanos regionais (Ferreira, 2023).</w:t>
      </w:r>
    </w:p>
    <w:p w14:paraId="09BD7E59" w14:textId="77777777" w:rsidR="003872B9" w:rsidRDefault="0073353F">
      <w:pPr>
        <w:ind w:firstLine="709"/>
        <w:jc w:val="both"/>
      </w:pPr>
      <w:r>
        <w:t>A dignidade da pessoa humana, elevada a fundamento da República pelo artigo 1º, inciso III, da Constituição Federal, constitui o vetor axiológico que orienta a interpretação de todo o ordenamento jurídico brasileiro. Sob essa perspectiva, a análise da repavimentação da BR-319 não pode limitar-se aos aspectos técnicos e econômicos da obra, devendo considerar, sobretudo, seus reflexos sobre as condições materiais de existência das populações que habitam a região atravessada pela rodovia. Observa-se que a ausência de infraestrutura adequada impõe às comunidades locais restrições severas ao exercício de direitos básicos, o que evidencia a existência de um dever estatal de promover a integração regional sem descurar da proteção socioambiental (Ferreira, 2023).</w:t>
      </w:r>
    </w:p>
    <w:p w14:paraId="45A4D3B4" w14:textId="77777777" w:rsidR="003872B9" w:rsidRDefault="0073353F">
      <w:pPr>
        <w:ind w:firstLine="709"/>
        <w:jc w:val="both"/>
      </w:pPr>
      <w:r>
        <w:t>Ao mesmo tempo, a literatura especializada adverte que a pavimentação de rodovias na Amazônia historicamente correlaciona-se ao avanço do desmatamento, à especulação fundiária e à degradação de territórios tradicionais, fenômeno documentado em experiências anteriores de abertura e asfaltamento de vias na região. Nesse sentido, a repavimentação da BR-319 apresenta-se como um dilema jurídico e político complexo, no qual a promoção do direito de ir e vir das populações locais pode, paradoxalmente, colocar em risco outros direitos igualmente fundamentais, como o direito ao meio ambiente ecologicamente equilibrado e o direito à preservação dos modos de vida tradicionais (Ferreira, 2023).</w:t>
      </w:r>
    </w:p>
    <w:p w14:paraId="5F5A8325" w14:textId="77777777" w:rsidR="003872B9" w:rsidRDefault="0073353F">
      <w:pPr>
        <w:ind w:firstLine="709"/>
        <w:jc w:val="both"/>
      </w:pPr>
      <w:r>
        <w:t xml:space="preserve">A doutrina amazonense contemporânea investiga de que forma o discurso do desenvolvimento regional se articula com interesses econômicos que, muitas vezes, pouco </w:t>
      </w:r>
      <w:r>
        <w:lastRenderedPageBreak/>
        <w:t>dialogam com as necessidades das comunidades locais. Ao analisar fenômenos de apropriação simbólica e discursiva da Amazônia Legal, Pontes Filho (2016) evidencia como narrativas de progresso e integração são utilizadas para legitimar empreendimentos cujos impactos socioambientais nem sempre são dimensionados de forma transparente e participativa junto às populações afetadas.</w:t>
      </w:r>
    </w:p>
    <w:p w14:paraId="2E660BB8" w14:textId="77777777" w:rsidR="003872B9" w:rsidRDefault="0073353F">
      <w:pPr>
        <w:ind w:firstLine="709"/>
        <w:jc w:val="both"/>
      </w:pPr>
      <w:r>
        <w:t>Esse fenômeno, que o autor denomina de apropriação discursiva do território amazônico, revela como determinados grupos econômicos e políticos constroem narrativas que naturalizam a exploração da região, silenciando vozes locais e subestimando os efeitos deletérios de grandes obras de infraestrutura. A repavimentação da BR-319, nesse sentido, insere-se em um contexto histórico mais amplo de disputas simbólicas e materiais sobre o destino da Amazônia, no qual o discurso da integração nacional frequentemente sobrepõe-se às demandas concretas das comunidades tradicionais (Pontes Filho, 2016).</w:t>
      </w:r>
    </w:p>
    <w:p w14:paraId="1BDC4D31" w14:textId="77777777" w:rsidR="003872B9" w:rsidRDefault="0073353F">
      <w:pPr>
        <w:ind w:firstLine="709"/>
        <w:jc w:val="both"/>
      </w:pPr>
      <w:r>
        <w:rPr>
          <w:szCs w:val="24"/>
        </w:rPr>
        <w:t>A conciliação entre o direito de ir e vir e a dignidade da pessoa humana, portanto, exige que o Estado brasileiro conduza a obra de repavimentação com observância rigorosa dos procedimentos de licenciamento ambiental, garantindo estudos de impacto que dimensionem adequadamente os efeitos sobre a fauna, a flora, os recursos hídricos e, sobretudo, sobre as populações humanas diretamente afetadas. A ausência de tais cautelas transforma um direito fundamental legítimo, o de ir e vir, em instrumento de violação de outros direitos igualmente essenciais.</w:t>
      </w:r>
    </w:p>
    <w:p w14:paraId="6D89FEE1" w14:textId="77777777" w:rsidR="003872B9" w:rsidRDefault="0073353F">
      <w:pPr>
        <w:ind w:firstLine="709"/>
        <w:jc w:val="both"/>
      </w:pPr>
      <w:r>
        <w:t>Cabe observar que a dignidade da pessoa humana não se realiza apenas pela ampliação do acesso físico a determinado território, mas também pela preservação das condições que permitem a reprodução social e cultural das comunidades que ali residem. Assim, a análise jurídica da BR-319 deve considerar não apenas os benefícios diretos da conectividade, mas também os custos indiretos impostos às populações tradicionais, cujos modos de vida frequentemente dependem da preservação da floresta e dos cursos d'água que margeiam a rodovia.</w:t>
      </w:r>
    </w:p>
    <w:p w14:paraId="6203F2C6" w14:textId="77777777" w:rsidR="003872B9" w:rsidRDefault="0073353F">
      <w:pPr>
        <w:ind w:firstLine="709"/>
        <w:jc w:val="both"/>
      </w:pPr>
      <w:r>
        <w:rPr>
          <w:szCs w:val="24"/>
        </w:rPr>
        <w:t xml:space="preserve">A doutrina amazonense tem enfatizado, nesse sentido, a necessidade de que o planejamento de grandes obras de infraestrutura na região incorpore mecanismos efetivos de consulta e participação social, em consonância com os compromissos internacionais assumidos pelo Brasil, notadamente a Convenção 169 da Organização Internacional do Trabalho, que assegura aos povos indígenas e tradicionais o direito de serem consultados previamente sobre medidas que afetem seus territórios. A ausência de consulta adequada compromete a </w:t>
      </w:r>
      <w:r>
        <w:rPr>
          <w:szCs w:val="24"/>
        </w:rPr>
        <w:lastRenderedPageBreak/>
        <w:t>legitimidade democrática do empreendimento e amplia o risco de judicialização de conflitos socioambientais.</w:t>
      </w:r>
    </w:p>
    <w:p w14:paraId="4C858BA4" w14:textId="77777777" w:rsidR="003872B9" w:rsidRDefault="00F30146">
      <w:pPr>
        <w:ind w:firstLine="709"/>
        <w:jc w:val="both"/>
      </w:pPr>
      <w:r>
        <w:t>A proteção da dignidade da pessoa humana no contexto da BR-319 pressupõe a adoção de um modelo de desenvolvimento sustentável, capaz de compatibilizar a expansão da infraestrutura com a manutenção da integridade ecológica da floresta amazônica (Ferreira, 2023). Trata-se de perspectiva que rejeita tanto o discurso preservacionista que ignora as necessidades das populações locais, quanto o discurso desenvolvimentista que negligencia os limites ecológicos da região, propondo, em seu lugar, um caminho intermediário pautado pela justiça socioambiental.</w:t>
      </w:r>
    </w:p>
    <w:p w14:paraId="3A4AFA21" w14:textId="77777777" w:rsidR="003872B9" w:rsidRDefault="0073353F">
      <w:pPr>
        <w:ind w:firstLine="709"/>
        <w:jc w:val="both"/>
      </w:pPr>
      <w:r>
        <w:t>Nessa mesma linha, é possível afirmar que o direito de ir e vir, quando exercido em detrimento da integridade ambiental e da proteção das comunidades tradicionais, converte-se em direito esvaziado de conteúdo substancial, pois a degradação do território compromete justamente as condições materiais que sustentam a vida e a dignidade das populações que a rodovia pretende beneficiar. A efetivação plena desse direito, portanto, depende da observância simultânea de garantias ambientais e sociais.</w:t>
      </w:r>
    </w:p>
    <w:p w14:paraId="696A9EE0" w14:textId="77777777" w:rsidR="003872B9" w:rsidRDefault="0073353F">
      <w:pPr>
        <w:ind w:firstLine="709"/>
        <w:jc w:val="both"/>
      </w:pPr>
      <w:r>
        <w:rPr>
          <w:szCs w:val="24"/>
        </w:rPr>
        <w:t>O debate sobre a BR-319 evidencia, assim, a complexidade inerente à tutela de direitos fundamentais em contextos territorialmente sensíveis como a Amazônia, exigindo do intérprete constitucional uma leitura sistemática que evite a hierarquização apriorística entre direitos individuais de locomoção e direitos coletivos de natureza socioambiental. Ambos devem ser ponderados à luz do princípio da proporcionalidade, sempre tendo como referência última a dignidade da pessoa humana.</w:t>
      </w:r>
    </w:p>
    <w:p w14:paraId="3A5DDDE1" w14:textId="77777777" w:rsidR="003872B9" w:rsidRDefault="0073353F">
      <w:pPr>
        <w:ind w:firstLine="709"/>
        <w:jc w:val="both"/>
      </w:pPr>
      <w:r w:rsidRPr="004C2B39">
        <w:rPr>
          <w:szCs w:val="24"/>
        </w:rPr>
        <w:t>Conclui</w:t>
      </w:r>
      <w:r w:rsidR="004C2B39" w:rsidRPr="004C2B39">
        <w:rPr>
          <w:szCs w:val="24"/>
        </w:rPr>
        <w:t>-</w:t>
      </w:r>
      <w:r w:rsidRPr="004C2B39">
        <w:rPr>
          <w:szCs w:val="24"/>
        </w:rPr>
        <w:t>se</w:t>
      </w:r>
      <w:r>
        <w:rPr>
          <w:szCs w:val="24"/>
        </w:rPr>
        <w:t>, portanto, que a repavimentação da BR-319 constitui teste concreto da capacidade do ordenamento jurídico brasileiro de conciliar desenvolvimento regional e proteção de direitos fundamentais, cabendo ao Estado adotar postura ativa na fiscalização ambiental, na promoção da participação social e na garantia de que os benefícios da integração viária não se traduzam em novos ciclos de exclusão e degradação para as populações amazonenses.</w:t>
      </w:r>
    </w:p>
    <w:p w14:paraId="3E15C6CC" w14:textId="77777777" w:rsidR="003872B9" w:rsidRPr="004C2B39" w:rsidRDefault="0073353F">
      <w:pPr>
        <w:pStyle w:val="Ttulo2"/>
        <w:keepNext/>
        <w:spacing w:before="240" w:after="120" w:line="360" w:lineRule="auto"/>
        <w:rPr>
          <w:color w:val="auto"/>
        </w:rPr>
      </w:pPr>
      <w:r w:rsidRPr="004C2B39">
        <w:rPr>
          <w:b/>
          <w:bCs/>
        </w:rPr>
        <w:t>2.2 Acesso à justiça e proteção dos vulneráveis no contexto amazonense</w:t>
      </w:r>
    </w:p>
    <w:p w14:paraId="64785394" w14:textId="77777777" w:rsidR="003872B9" w:rsidRDefault="0073353F">
      <w:pPr>
        <w:ind w:firstLine="709"/>
        <w:jc w:val="both"/>
      </w:pPr>
      <w:r>
        <w:t xml:space="preserve">O acesso à justiça constitui direito fundamental essencial à concretização de todos os demais direitos previstos no ordenamento jurídico, pois representa a via institucional pela qual os cidadãos podem exigir do Estado a proteção de seus interesses legítimos. No contexto </w:t>
      </w:r>
      <w:r>
        <w:lastRenderedPageBreak/>
        <w:t>amazonense, marcado por dimensões territoriais continentais e por severas dificuldades logísticas, o acesso à justiça enfrenta desafios peculiares, que se agravam justamente nas regiões desprovidas de infraestrutura viária adequada, como as áreas atravessadas pela BR-319 (Bentes, 2024).</w:t>
      </w:r>
    </w:p>
    <w:p w14:paraId="772B3BF0" w14:textId="77777777" w:rsidR="003872B9" w:rsidRDefault="00764231">
      <w:pPr>
        <w:ind w:firstLine="709"/>
        <w:jc w:val="both"/>
      </w:pPr>
      <w:r>
        <w:t>Ao examinar o jus postulandi no âmbito da Justiça do Trabalho, Bentes (2024) demonstra como a possibilidade de a própria parte postular em juízo, sem a assistência obrigatória de advogado, representa um mecanismo de democratização do acesso à justiça em regiões remotas, onde a presença de profissionais habilitados é escassa. A autora sustenta que, no contexto amazonense, o instituto aproxima populações isoladas do sistema de justiça e pode reduzir as barreiras impostas pela distância física e pela precariedade das vias de comunicação.</w:t>
      </w:r>
    </w:p>
    <w:p w14:paraId="50A76AF6" w14:textId="77777777" w:rsidR="003872B9" w:rsidRDefault="0073353F">
      <w:pPr>
        <w:ind w:firstLine="709"/>
        <w:jc w:val="both"/>
      </w:pPr>
      <w:r>
        <w:t>Entretanto, a autora adverte que o jus postulandi, embora relevante instrumento de acesso formal à justiça, não é suficiente, por si só, para assegurar a efetividade da tutela jurisdicional, especialmente diante da complexidade técnica que caracteriza determinadas demandas judiciais. A ausência de assistência jurídica qualificada pode resultar em prejuízos processuais para a parte hipossuficiente, o que reforça a necessidade de políticas públicas complementares voltadas à ampliação da Defensoria Pública e de núcleos de assistência jurídica nas regiões mais afastadas do estado do Amazonas (Bentes, 2024).</w:t>
      </w:r>
    </w:p>
    <w:p w14:paraId="41BF341C" w14:textId="77777777" w:rsidR="003872B9" w:rsidRDefault="0073353F">
      <w:pPr>
        <w:ind w:firstLine="709"/>
        <w:jc w:val="both"/>
      </w:pPr>
      <w:r>
        <w:t>A obra de Bentes (2024) situa-se, portanto, em diálogo direto com a problemática da BR-319, pois a melhoria da infraestrutura viária pode representar, potencialmente, ampliação do acesso físico das populações ribeirinhas e indígenas aos órgãos do Poder Judiciário, hoje concentrados majoritariamente nos grandes centros urbanos da região. Ao mesmo tempo, a autora alerta que essa ampliação de acesso físico deve vir acompanhada de investimentos em capacitação e assistência jurídica, sob pena de o acesso formal à justiça não se converter em acesso material e efetivo.</w:t>
      </w:r>
    </w:p>
    <w:p w14:paraId="5F3F00B8" w14:textId="77777777" w:rsidR="003872B9" w:rsidRDefault="0073353F">
      <w:pPr>
        <w:ind w:firstLine="709"/>
        <w:jc w:val="both"/>
      </w:pPr>
      <w:r>
        <w:rPr>
          <w:szCs w:val="24"/>
        </w:rPr>
        <w:t>Complementarmente, a doutrina processual contemporânea tem</w:t>
      </w:r>
      <w:r w:rsidR="00C64210">
        <w:rPr>
          <w:szCs w:val="24"/>
        </w:rPr>
        <w:t>-</w:t>
      </w:r>
      <w:r>
        <w:rPr>
          <w:szCs w:val="24"/>
        </w:rPr>
        <w:t>se debruçado sobre a necessidade de construção de um microssistema processual voltado especificamente à proteção dos vulneráveis, capaz de conferir tratamento diferenciado a grupos que, por sua condição social, econômica ou territorial, encontram maiores obstáculos ao pleno exercício de seus direitos processuais. Zaneti Jr. e Casas Maia (2025) sustentam que a vulnerabilidade deve ser compreendida como categoria jurídica transversal, apta a orientar a interpretação e a aplicação das normas processuais em favor dos grupos social e economicamente mais frágeis.</w:t>
      </w:r>
    </w:p>
    <w:p w14:paraId="0F0B77ED" w14:textId="77777777" w:rsidR="003872B9" w:rsidRDefault="0073353F">
      <w:pPr>
        <w:ind w:firstLine="709"/>
        <w:jc w:val="both"/>
      </w:pPr>
      <w:r>
        <w:lastRenderedPageBreak/>
        <w:t>Os autores destacam que a proteção processual dos vulneráveis não pode limitar-se à mera previsão formal de direitos, exigindo a construção de mecanismos concretos que assegurem a efetiva participação desses grupos no processo judicial, tais como a inversão do ônus da prova, a flexibilização de prazos processuais e a ampliação do acesso à gratuidade de justiça. No contexto amazonense, essa perspectiva ganha relevância especial, uma vez que as populações ribeirinhas e indígenas frequentemente enfrentam, simultaneamente, vulnerabilidade econômica, social e territorial, o que exige resposta processual igualmente multidimensional (Zaneti Jr.; Casas Maia, 2025).</w:t>
      </w:r>
    </w:p>
    <w:p w14:paraId="460473D9" w14:textId="77777777" w:rsidR="003872B9" w:rsidRDefault="0073353F">
      <w:pPr>
        <w:ind w:firstLine="709"/>
        <w:jc w:val="both"/>
        <w:rPr>
          <w:szCs w:val="24"/>
        </w:rPr>
      </w:pPr>
      <w:r>
        <w:rPr>
          <w:szCs w:val="24"/>
        </w:rPr>
        <w:t xml:space="preserve">Nessa mesma linha teórica, </w:t>
      </w:r>
      <w:r w:rsidR="00330838">
        <w:rPr>
          <w:szCs w:val="24"/>
        </w:rPr>
        <w:t xml:space="preserve">Zaneti Jr. e Casas Maia </w:t>
      </w:r>
      <w:r>
        <w:rPr>
          <w:szCs w:val="24"/>
        </w:rPr>
        <w:t>(2025), em obra dedicada à proteção jurídica dos vulneráveis, defende</w:t>
      </w:r>
      <w:r w:rsidR="003A73A6">
        <w:rPr>
          <w:szCs w:val="24"/>
        </w:rPr>
        <w:t>m</w:t>
      </w:r>
      <w:r>
        <w:rPr>
          <w:szCs w:val="24"/>
        </w:rPr>
        <w:t xml:space="preserve"> a construção de um direito da proteção que transcenda os limites tradicionais do processo civil, incorporando elementos de justiça social e de reconhecimento das assimetrias estruturais que caracterizam a sociedade brasileira contemporânea. O</w:t>
      </w:r>
      <w:r w:rsidR="00D87B85">
        <w:rPr>
          <w:szCs w:val="24"/>
        </w:rPr>
        <w:t>s</w:t>
      </w:r>
      <w:r>
        <w:rPr>
          <w:szCs w:val="24"/>
        </w:rPr>
        <w:t xml:space="preserve"> autor</w:t>
      </w:r>
      <w:r w:rsidR="00371B05">
        <w:rPr>
          <w:szCs w:val="24"/>
        </w:rPr>
        <w:t>es</w:t>
      </w:r>
      <w:r>
        <w:rPr>
          <w:szCs w:val="24"/>
        </w:rPr>
        <w:t xml:space="preserve"> argumenta</w:t>
      </w:r>
      <w:r w:rsidR="00D87B85">
        <w:rPr>
          <w:szCs w:val="24"/>
        </w:rPr>
        <w:t>m</w:t>
      </w:r>
      <w:r>
        <w:rPr>
          <w:szCs w:val="24"/>
        </w:rPr>
        <w:t xml:space="preserve"> que a vulnerabilidade não constitui condição estática, mas fenômeno dinâmico, moldado por fatores territoriais, econômicos e culturais, exigindo do sistema jurídico permanente capacidade de adaptação.</w:t>
      </w:r>
    </w:p>
    <w:p w14:paraId="33DD20E0" w14:textId="77777777" w:rsidR="001627D2" w:rsidRDefault="001627D2">
      <w:pPr>
        <w:ind w:firstLine="709"/>
        <w:jc w:val="both"/>
      </w:pPr>
      <w:r>
        <w:t>A existência de uma malha viária consolidada não garante, por si só, a efetividade dos direitos ou a inclusão jurídica. O texto toma como exemplo o estado de São Paulo, que, apesar de contar com uma rede rodoviária desenvolvida, apresenta situações de exclusão jurídica e desamparo processual entre populações vulneráveis. Essa comparação exige superar a interpretação que reduz o acesso à justiça à mobilidade física ou à facilidade de deslocamento até as sedes do Poder Judiciário.</w:t>
      </w:r>
    </w:p>
    <w:p w14:paraId="4543116F" w14:textId="77777777" w:rsidR="003872B9" w:rsidRDefault="0073353F">
      <w:pPr>
        <w:ind w:firstLine="709"/>
        <w:jc w:val="both"/>
        <w:rPr>
          <w:szCs w:val="24"/>
        </w:rPr>
      </w:pPr>
      <w:r>
        <w:rPr>
          <w:szCs w:val="24"/>
        </w:rPr>
        <w:t>A aplicação dessas categorias teóricas ao contexto da BR-319 revela que a expansão da rodovia, embora potencialmente benéfica para a ampliação do acesso físico à justiça, não resolve, por si só, as vulnerabilidades estruturais que caracterizam as populações amazonenses. É necessário, portanto, que a melhoria da infraestrutura viária seja acompanhada de políticas públicas de fortalecimento institucional do Poder Judiciário e da Defensoria Pública na região, sob pena de a obra beneficiar predominantemente interesses econômicos externos, em detrimento das comunidades locais.</w:t>
      </w:r>
    </w:p>
    <w:p w14:paraId="3900A3EB" w14:textId="77777777" w:rsidR="008C1638" w:rsidRPr="008C1638" w:rsidRDefault="008C1638">
      <w:pPr>
        <w:ind w:firstLine="709"/>
        <w:jc w:val="both"/>
        <w:rPr>
          <w:szCs w:val="24"/>
        </w:rPr>
      </w:pPr>
      <w:r>
        <w:t xml:space="preserve">Nesse cenário, o jus postulandi e os mecanismos de tutela individual, embora relevantes para aproximar o cidadão do Judiciário em demandas cotidianas, revelam-se manifestamente insuficientes para fazer frente à complexidade das disputas que envolvem a BR-319. Como apontam Zaneti Jr. e Casas Maia (2025), a proteção dos vulneráveis exige a estruturação de um </w:t>
      </w:r>
      <w:r>
        <w:lastRenderedPageBreak/>
        <w:t>microssistema processual apto a lidar com assimetrias estruturais de caráter coletivo, territorial e ambiental.</w:t>
      </w:r>
    </w:p>
    <w:p w14:paraId="689D4AFB" w14:textId="77777777" w:rsidR="003872B9" w:rsidRDefault="0073353F">
      <w:pPr>
        <w:ind w:firstLine="709"/>
        <w:jc w:val="both"/>
      </w:pPr>
      <w:r>
        <w:t>Ademais, o fortalecimento do acesso à justiça no contexto amazonense revela-se especialmente relevante para a proteção de direitos socioambientais das comunidades afetadas pela repavimentação da rodovia, pois a judicialização de conflitos relacionados ao licenciamento ambiental, à demarcação de terras indígenas e à proteção de territórios tradicionais depende, em larga medida, da capacidade dessas populações de acessar efetivamente o sistema de justiça e de nele fazer valer seus direitos.</w:t>
      </w:r>
    </w:p>
    <w:p w14:paraId="75526C80" w14:textId="77777777" w:rsidR="003872B9" w:rsidRDefault="0073353F">
      <w:pPr>
        <w:ind w:firstLine="709"/>
        <w:jc w:val="both"/>
      </w:pPr>
      <w:r>
        <w:t>A construção de um microssistema processual de proteção dos vulneráveis, nos termos propostos por Zaneti Jr. e Casas Maia (2025), oferece referencial teórico para a análise dos litígios que possam surgir em decorrência da repavimentação da BR-319, pois permite compreender as comunidades amazônicas afetadas não como litigantes ordinários, mas como sujeitos processuais que demandam proteção diferenciada, compatível com sua condição de vulnerabilidade estrutural.</w:t>
      </w:r>
    </w:p>
    <w:p w14:paraId="76196B39" w14:textId="77777777" w:rsidR="003872B9" w:rsidRDefault="0073353F">
      <w:pPr>
        <w:ind w:firstLine="709"/>
        <w:jc w:val="both"/>
      </w:pPr>
      <w:r>
        <w:rPr>
          <w:szCs w:val="24"/>
        </w:rPr>
        <w:t>Verifica</w:t>
      </w:r>
      <w:r w:rsidR="003B50FD">
        <w:rPr>
          <w:szCs w:val="24"/>
        </w:rPr>
        <w:t>-</w:t>
      </w:r>
      <w:r>
        <w:rPr>
          <w:szCs w:val="24"/>
        </w:rPr>
        <w:t>se, portanto, que o acesso à justiça no contexto amazonense não pode ser dissociado das discussões sobre infraestrutura viária, uma vez que a distância física constitui, historicamente, um dos principais obstáculos à efetivação de direitos na região. A repavimentação da BR-319, nesse sentido, apresenta potencial ambivalente, podendo tanto ampliar quanto comprometer o acesso à justiça, a depender da forma como for conduzida e das políticas públicas complementares que a acompanharem.</w:t>
      </w:r>
    </w:p>
    <w:p w14:paraId="48336C4F" w14:textId="77777777" w:rsidR="003872B9" w:rsidRDefault="0073353F">
      <w:pPr>
        <w:ind w:firstLine="709"/>
        <w:jc w:val="both"/>
      </w:pPr>
      <w:r>
        <w:rPr>
          <w:szCs w:val="24"/>
        </w:rPr>
        <w:t>Conclui</w:t>
      </w:r>
      <w:r w:rsidR="00494E25">
        <w:rPr>
          <w:szCs w:val="24"/>
        </w:rPr>
        <w:t>-</w:t>
      </w:r>
      <w:r>
        <w:rPr>
          <w:szCs w:val="24"/>
        </w:rPr>
        <w:t>se que a efetividade do acesso à justiça na Amazônia depende da articulação entre melhoria de infraestrutura, fortalecimento institucional e reconhecimento normativo da vulnerabilidade como categoria jurídica relevante, de modo que a expansão de rodovias como a BR-319 seja acompanhada de investimentos proporcionais na estrutura judiciária e assistencial da região, sob pena de a integração viária aprofundar, em vez de reduzir, as desigualdades históricas que marcam o acesso a direitos no Amazonas.</w:t>
      </w:r>
    </w:p>
    <w:p w14:paraId="77CEDD40" w14:textId="77777777" w:rsidR="003872B9" w:rsidRPr="00383C0F" w:rsidRDefault="0073353F">
      <w:pPr>
        <w:pStyle w:val="Ttulo2"/>
        <w:keepNext/>
        <w:spacing w:before="240" w:after="120" w:line="360" w:lineRule="auto"/>
        <w:rPr>
          <w:color w:val="FF0000"/>
        </w:rPr>
      </w:pPr>
      <w:r>
        <w:rPr>
          <w:b/>
        </w:rPr>
        <w:t>2.3 Democracia ambiental, o Acordo de Escazú e a litigância climática no Sul Global</w:t>
      </w:r>
    </w:p>
    <w:p w14:paraId="560AD630" w14:textId="77777777" w:rsidR="003872B9" w:rsidRDefault="0073353F">
      <w:pPr>
        <w:ind w:firstLine="709"/>
        <w:jc w:val="both"/>
      </w:pPr>
      <w:r>
        <w:rPr>
          <w:szCs w:val="24"/>
        </w:rPr>
        <w:t>A noção de democracia ambiental relaciona</w:t>
      </w:r>
      <w:r w:rsidR="00646C5B">
        <w:rPr>
          <w:szCs w:val="24"/>
        </w:rPr>
        <w:t>-</w:t>
      </w:r>
      <w:r>
        <w:rPr>
          <w:szCs w:val="24"/>
        </w:rPr>
        <w:t>se diretamente à ideia de que a proteção do meio ambiente depende, em larga medida, da garantia de direitos de acesso à informação, à participação pública e à justiça em matéria ambiental. Trata</w:t>
      </w:r>
      <w:r w:rsidR="00461402">
        <w:rPr>
          <w:szCs w:val="24"/>
        </w:rPr>
        <w:t>-</w:t>
      </w:r>
      <w:r>
        <w:rPr>
          <w:szCs w:val="24"/>
        </w:rPr>
        <w:t xml:space="preserve">se de perspectiva que reconhece a insuficiência de abordagens exclusivamente técnicas ou regulatórias na tutela ambiental, </w:t>
      </w:r>
      <w:r>
        <w:rPr>
          <w:szCs w:val="24"/>
        </w:rPr>
        <w:lastRenderedPageBreak/>
        <w:t>exigindo a construção de processos decisórios inclusivos, capazes de incorporar as vozes das comunidades diretamente afetadas por grandes empreendimentos, como é o caso da repavimentação da BR-319 (P</w:t>
      </w:r>
      <w:r w:rsidR="00544B5C">
        <w:rPr>
          <w:szCs w:val="24"/>
        </w:rPr>
        <w:t xml:space="preserve">arola, </w:t>
      </w:r>
      <w:r>
        <w:rPr>
          <w:szCs w:val="24"/>
        </w:rPr>
        <w:t>2020).</w:t>
      </w:r>
    </w:p>
    <w:p w14:paraId="78C7C5AD" w14:textId="77777777" w:rsidR="003872B9" w:rsidRDefault="0073353F">
      <w:pPr>
        <w:ind w:firstLine="709"/>
        <w:jc w:val="both"/>
      </w:pPr>
      <w:r>
        <w:rPr>
          <w:szCs w:val="24"/>
        </w:rPr>
        <w:t xml:space="preserve">Parola (2020) analisa o Acordo Regional sobre Acesso à Informação, Participação Pública e Acesso à Justiça em Assuntos Ambientais na América Latina e no Caribe, conhecido como Acordo de </w:t>
      </w:r>
      <w:proofErr w:type="spellStart"/>
      <w:r>
        <w:rPr>
          <w:szCs w:val="24"/>
        </w:rPr>
        <w:t>Escazú</w:t>
      </w:r>
      <w:proofErr w:type="spellEnd"/>
      <w:r>
        <w:rPr>
          <w:szCs w:val="24"/>
        </w:rPr>
        <w:t xml:space="preserve">, adotado em 2018 como o primeiro tratado ambiental vinculante da região </w:t>
      </w:r>
      <w:r w:rsidR="00236DC0">
        <w:rPr>
          <w:szCs w:val="24"/>
        </w:rPr>
        <w:t>latino-americana</w:t>
      </w:r>
      <w:r>
        <w:rPr>
          <w:szCs w:val="24"/>
        </w:rPr>
        <w:t xml:space="preserve"> voltado especificamente à proteção de defensores de direitos humanos em matéria ambiental. O autor destaca que o acordo representa marco relevante na construção de um regime jurídico regional comprometido com a democracia ambiental, ao consolidar direitos processuais essenciais à efetiva participação social nas decisões que impactam o meio ambiente.</w:t>
      </w:r>
    </w:p>
    <w:p w14:paraId="22F780AD" w14:textId="77777777" w:rsidR="003872B9" w:rsidRDefault="0073353F">
      <w:pPr>
        <w:ind w:firstLine="709"/>
        <w:jc w:val="both"/>
      </w:pPr>
      <w:r>
        <w:rPr>
          <w:szCs w:val="24"/>
        </w:rPr>
        <w:t xml:space="preserve">O Acordo de </w:t>
      </w:r>
      <w:proofErr w:type="spellStart"/>
      <w:r>
        <w:rPr>
          <w:szCs w:val="24"/>
        </w:rPr>
        <w:t>Escazú</w:t>
      </w:r>
      <w:proofErr w:type="spellEnd"/>
      <w:r>
        <w:rPr>
          <w:szCs w:val="24"/>
        </w:rPr>
        <w:t xml:space="preserve"> estabelece obrigações específicas aos Estados signatários quanto à disponibilização de informações ambientais, à realização de consultas públicas prévias a empreendimentos com potencial impacto significativo e à garantia de acesso a mecanismos judiciais e administrativos de proteção ambiental. Parola (2020) ressalta, contudo, que a efetividade do acordo depende da vontade política dos Estados em implementá</w:t>
      </w:r>
      <w:r w:rsidR="004C2B39">
        <w:rPr>
          <w:szCs w:val="24"/>
        </w:rPr>
        <w:t>-</w:t>
      </w:r>
      <w:r>
        <w:rPr>
          <w:szCs w:val="24"/>
        </w:rPr>
        <w:t>lo integralmente, observando</w:t>
      </w:r>
      <w:r w:rsidR="002C519C">
        <w:rPr>
          <w:szCs w:val="24"/>
        </w:rPr>
        <w:t>-</w:t>
      </w:r>
      <w:r>
        <w:rPr>
          <w:szCs w:val="24"/>
        </w:rPr>
        <w:t xml:space="preserve">se, na prática </w:t>
      </w:r>
      <w:r w:rsidR="00236DC0">
        <w:rPr>
          <w:szCs w:val="24"/>
        </w:rPr>
        <w:t>latino-americana</w:t>
      </w:r>
      <w:r>
        <w:rPr>
          <w:szCs w:val="24"/>
        </w:rPr>
        <w:t>, resistências significativas à sua plena ratificação e aplicação, inclusive por parte do Brasil.</w:t>
      </w:r>
    </w:p>
    <w:p w14:paraId="0C102605" w14:textId="77777777" w:rsidR="003872B9" w:rsidRDefault="0073353F">
      <w:pPr>
        <w:ind w:firstLine="709"/>
        <w:jc w:val="both"/>
      </w:pPr>
      <w:r>
        <w:t>A aplicação dos princípios do Acordo de Escazú ao caso da BR-319 evidencia a necessidade de que o processo de licenciamento ambiental da obra observe rigorosamente os direitos de acesso à informação e participação das comunidades tradicionais afetadas, garantindo-lhes conhecimento pleno sobre os estudos de impacto ambiental e oportunidade real de manifestação sobre as alternativas técnicas disponíveis. A ausência desses mecanismos participativos compromete não apenas a legitimidade democrática do empreendimento, mas também sua conformidade com os compromissos internacionais assumidos pelo Brasil em matéria de democracia ambiental.</w:t>
      </w:r>
    </w:p>
    <w:p w14:paraId="628F57FE" w14:textId="77777777" w:rsidR="003872B9" w:rsidRDefault="0073353F">
      <w:pPr>
        <w:ind w:firstLine="709"/>
        <w:jc w:val="both"/>
      </w:pPr>
      <w:r>
        <w:t xml:space="preserve">Paralelamente ao debate sobre democracia ambiental, a literatura internacional tem examinado a litigância climática como instrumento de proteção de comunidades vulneráveis diante dos efeitos das mudanças climáticas e da degradação ambiental. Murcott, Tigre e Samuel (2025), ao investigarem a relação entre vulnerabilidade, interseccionalidade e litígios climáticos no Sul Global, sustentam que grupos historicamente marginalizados, entre eles populações </w:t>
      </w:r>
      <w:r>
        <w:lastRenderedPageBreak/>
        <w:t>indígenas, ribeirinhas e afrodescendentes, encontram na via judicial um instrumento de resistência a projetos que ameaçam seus territórios e modos de vida.</w:t>
      </w:r>
    </w:p>
    <w:p w14:paraId="302FA4BC" w14:textId="77777777" w:rsidR="003872B9" w:rsidRDefault="0073353F">
      <w:pPr>
        <w:ind w:firstLine="709"/>
        <w:jc w:val="both"/>
      </w:pPr>
      <w:r>
        <w:rPr>
          <w:szCs w:val="24"/>
        </w:rPr>
        <w:t>As autoras argumentam que a vulnerabilidade climática não pode ser compreendida de forma homogênea, devendo ser analisada sob perspectiva interseccional, que considere simultaneamente fatores de gênero, raça, classe social e localização geográfica na conformação das experiências de exposição ao risco ambiental. Essa abordagem revela</w:t>
      </w:r>
      <w:r w:rsidR="00C5257E">
        <w:rPr>
          <w:szCs w:val="24"/>
        </w:rPr>
        <w:t>-</w:t>
      </w:r>
      <w:r>
        <w:rPr>
          <w:szCs w:val="24"/>
        </w:rPr>
        <w:t>se particularmente relevante para a análise da BR-319, cujos impactos socioambientais tendem a afetar de forma desproporcional as comunidades indígenas e ribeirinhas situadas ao longo do trecho não pavimentado da rodovia, historicamente alijadas dos processos decisórios sobre o destino de seus territórios.</w:t>
      </w:r>
    </w:p>
    <w:p w14:paraId="2ECF84A2" w14:textId="77777777" w:rsidR="003872B9" w:rsidRPr="00236DC0" w:rsidRDefault="0073353F">
      <w:pPr>
        <w:ind w:firstLine="709"/>
        <w:jc w:val="both"/>
      </w:pPr>
      <w:r>
        <w:t>Murcott, Tigre e Samuel (2025) destacam ainda que a litigância climática no Sul Global apresenta características distintas daquela observada em países do Norte Global, pois frequentemente articula-se com demandas de justiça histórica, reconhecimento territorial e reparação de violações socioambientais pretéritas. No contexto amazônico, essa perspectiva dialoga diretamente com as reivindicações de povos indígenas e comunidades tradicionais que historicamente sofreram os impactos de grandes projetos de infraestrutura conduzidos sem sua efetiva participação.</w:t>
      </w:r>
    </w:p>
    <w:p w14:paraId="6A200780" w14:textId="77777777" w:rsidR="003872B9" w:rsidRDefault="0073353F">
      <w:pPr>
        <w:ind w:firstLine="709"/>
        <w:jc w:val="both"/>
      </w:pPr>
      <w:r>
        <w:t>A convergência entre os estudos de Parola (2020) sobre o Acordo de Escazú e a análise de Murcott, Tigre e Samuel (2025) sobre litigância climática interseccional permite construir base teórica para a compreensão dos desafios jurídicos suscitados pela repavimentação da BR-319, evidenciando que a proteção ambiental efetiva depende tanto da garantia de direitos processuais de participação e acesso à informação, quanto do reconhecimento das vulnerabilidades específicas que caracterizam as populações amazônicas.</w:t>
      </w:r>
    </w:p>
    <w:p w14:paraId="69CCB2BB" w14:textId="77777777" w:rsidR="003872B9" w:rsidRDefault="0073353F">
      <w:pPr>
        <w:ind w:firstLine="709"/>
        <w:jc w:val="both"/>
      </w:pPr>
      <w:r>
        <w:rPr>
          <w:szCs w:val="24"/>
        </w:rPr>
        <w:t xml:space="preserve">Nesse sentido, a democracia ambiental </w:t>
      </w:r>
      <w:r w:rsidRPr="00A93FA2">
        <w:rPr>
          <w:szCs w:val="24"/>
        </w:rPr>
        <w:t>apresenta</w:t>
      </w:r>
      <w:r w:rsidR="00A93FA2" w:rsidRPr="00A93FA2">
        <w:rPr>
          <w:szCs w:val="24"/>
        </w:rPr>
        <w:t>-</w:t>
      </w:r>
      <w:r w:rsidRPr="00A93FA2">
        <w:rPr>
          <w:szCs w:val="24"/>
        </w:rPr>
        <w:t xml:space="preserve">se </w:t>
      </w:r>
      <w:r>
        <w:rPr>
          <w:szCs w:val="24"/>
        </w:rPr>
        <w:t xml:space="preserve">como pressuposto indispensável à legitimidade da obra de repavimentação, exigindo que o Estado brasileiro adote mecanismos efetivos de consulta prévia, transparência informacional e abertura a mecanismos judiciais e extrajudiciais de resolução de conflitos socioambientais, em consonância com os compromissos assumidos no âmbito do Acordo de </w:t>
      </w:r>
      <w:proofErr w:type="spellStart"/>
      <w:r>
        <w:rPr>
          <w:szCs w:val="24"/>
        </w:rPr>
        <w:t>Escazú</w:t>
      </w:r>
      <w:proofErr w:type="spellEnd"/>
      <w:r>
        <w:rPr>
          <w:szCs w:val="24"/>
        </w:rPr>
        <w:t xml:space="preserve"> e com as melhores práticas internacionais de proteção a defensores ambientais.</w:t>
      </w:r>
    </w:p>
    <w:p w14:paraId="6CF1AC16" w14:textId="77777777" w:rsidR="003872B9" w:rsidRDefault="0073353F">
      <w:pPr>
        <w:ind w:firstLine="709"/>
        <w:jc w:val="both"/>
      </w:pPr>
      <w:r>
        <w:rPr>
          <w:szCs w:val="24"/>
        </w:rPr>
        <w:t xml:space="preserve">A judicialização de conflitos relacionados à BR-319, sob essa perspectiva, não deve ser compreendida como mero obstáculo ao desenvolvimento regional, mas como manifestação legítima do exercício da cidadania ambiental pelas comunidades afetadas, as quais recorrem ao </w:t>
      </w:r>
      <w:r>
        <w:rPr>
          <w:szCs w:val="24"/>
        </w:rPr>
        <w:lastRenderedPageBreak/>
        <w:t>Poder Judiciário justamente diante da insuficiência dos mecanismos participativos formais disponibilizados pelo Estado ao longo do processo de licenciamento e execução da obra.</w:t>
      </w:r>
    </w:p>
    <w:p w14:paraId="0E63C760" w14:textId="77777777" w:rsidR="003872B9" w:rsidRDefault="0073353F">
      <w:pPr>
        <w:ind w:firstLine="709"/>
        <w:jc w:val="both"/>
      </w:pPr>
      <w:r>
        <w:rPr>
          <w:szCs w:val="24"/>
        </w:rPr>
        <w:t xml:space="preserve">A experiência </w:t>
      </w:r>
      <w:r w:rsidR="00A93FA2">
        <w:rPr>
          <w:szCs w:val="24"/>
        </w:rPr>
        <w:t>latino-americana</w:t>
      </w:r>
      <w:r>
        <w:rPr>
          <w:szCs w:val="24"/>
        </w:rPr>
        <w:t xml:space="preserve"> recente demonstra que a litigância climática </w:t>
      </w:r>
      <w:r w:rsidR="000F5CDE">
        <w:rPr>
          <w:szCs w:val="24"/>
        </w:rPr>
        <w:t>se tem</w:t>
      </w:r>
      <w:r>
        <w:rPr>
          <w:szCs w:val="24"/>
        </w:rPr>
        <w:t xml:space="preserve"> consolidado como ferramenta relevante de proteção ambiental em contextos de vulnerabilidade estrutural, permitindo que comunidades tradicionalmente excluídas dos processos decisórios formais encontrem, na via judicial, espaço de resistência e reivindicação de direitos. A repavimentação da BR-319, nesse cenário, poderá converter</w:t>
      </w:r>
      <w:r w:rsidR="001372E4">
        <w:rPr>
          <w:szCs w:val="24"/>
        </w:rPr>
        <w:t>-</w:t>
      </w:r>
      <w:r>
        <w:rPr>
          <w:szCs w:val="24"/>
        </w:rPr>
        <w:t>se em novo campo de disputa jurídica entre interesses desenvolvimentistas e demandas de proteção socioambiental.</w:t>
      </w:r>
    </w:p>
    <w:p w14:paraId="24E45943" w14:textId="77777777" w:rsidR="003872B9" w:rsidRDefault="0073353F">
      <w:pPr>
        <w:ind w:firstLine="709"/>
        <w:jc w:val="both"/>
      </w:pPr>
      <w:r w:rsidRPr="00A93FA2">
        <w:rPr>
          <w:szCs w:val="24"/>
        </w:rPr>
        <w:t>Conclui</w:t>
      </w:r>
      <w:r w:rsidR="00A93FA2" w:rsidRPr="00A93FA2">
        <w:rPr>
          <w:szCs w:val="24"/>
        </w:rPr>
        <w:t>-</w:t>
      </w:r>
      <w:r w:rsidRPr="00A93FA2">
        <w:rPr>
          <w:szCs w:val="24"/>
        </w:rPr>
        <w:t>se, assim</w:t>
      </w:r>
      <w:r>
        <w:rPr>
          <w:szCs w:val="24"/>
        </w:rPr>
        <w:t xml:space="preserve">, que a efetiva proteção ambiental no contexto da BR-319 depende da incorporação, pelo Estado brasileiro, dos princípios da democracia ambiental consagrados no Acordo de </w:t>
      </w:r>
      <w:proofErr w:type="spellStart"/>
      <w:r>
        <w:rPr>
          <w:szCs w:val="24"/>
        </w:rPr>
        <w:t>Escazú</w:t>
      </w:r>
      <w:proofErr w:type="spellEnd"/>
      <w:r>
        <w:rPr>
          <w:szCs w:val="24"/>
        </w:rPr>
        <w:t>, bem como do reconhecimento da legitimidade da litigância climática como instrumento de defesa das comunidades vulneráveis, de modo a assegurar que o desenvolvimento da infraestrutura regional não se converta em novo capítulo de violação de direitos socioambientais na Amazônia.</w:t>
      </w:r>
    </w:p>
    <w:p w14:paraId="67411955" w14:textId="77777777" w:rsidR="003872B9" w:rsidRPr="00173BB9" w:rsidRDefault="0073353F">
      <w:pPr>
        <w:pStyle w:val="Ttulo2"/>
        <w:keepNext/>
        <w:spacing w:before="240" w:after="120" w:line="360" w:lineRule="auto"/>
        <w:rPr>
          <w:color w:val="1A1A1A" w:themeColor="background1" w:themeShade="1A"/>
        </w:rPr>
      </w:pPr>
      <w:r w:rsidRPr="00173BB9">
        <w:rPr>
          <w:b/>
          <w:bCs/>
        </w:rPr>
        <w:t>2.4 O Sistema Interamericano de Direitos Humanos e o constitucionalismo democrático como instrumentos de proteção</w:t>
      </w:r>
    </w:p>
    <w:p w14:paraId="4775C259" w14:textId="77777777" w:rsidR="00446313" w:rsidRPr="00446313" w:rsidRDefault="0073353F" w:rsidP="00710391">
      <w:pPr>
        <w:ind w:firstLine="709"/>
        <w:jc w:val="both"/>
        <w:rPr>
          <w:szCs w:val="24"/>
        </w:rPr>
      </w:pPr>
      <w:r>
        <w:t>O Sistema Interamericano de Direitos Humanos, composto pela Comissão Interamericana de Direitos Humanos e pela Corte Interamericana de Direitos Humanos, constitui importante mecanismo regional de proteção de direitos fundamentais, com jurisprudência consolidada em matéria de proteção de povos indígenas, comunidades tradicionais e defensores de direitos humanos e ambientais. Morales Antoniazzi, Piovesan e Cruz (2024) destacam que o impacto transformador do sistema interamericano se manifesta não apenas na dimensão jurídica formal, mas também nas dimensões sociopolítica, institucional e cultural dos Estados que a ele se submetem. Tal Sistema representa um limite jurídico intransponível e de caráter transformador para as políticas públicas de infraestrutura dos Estados que se submetem à sua jurisdição. No Brasil, a força vinculante da jurisprudência interamericana impõe aos órgãos licenciadores federais e estaduais o dever de realizar não apenas o controle de constitucionalidade, mas também o controle de convencionalidade de suas decisões administrativas, alinhando as obras de infraestrutura aos tratados de direitos humanos vigentes.</w:t>
      </w:r>
    </w:p>
    <w:p w14:paraId="0BAD9C76" w14:textId="77777777" w:rsidR="003872B9" w:rsidRDefault="0073353F">
      <w:pPr>
        <w:ind w:firstLine="709"/>
        <w:jc w:val="both"/>
        <w:rPr>
          <w:szCs w:val="24"/>
        </w:rPr>
      </w:pPr>
      <w:r>
        <w:rPr>
          <w:szCs w:val="24"/>
        </w:rPr>
        <w:lastRenderedPageBreak/>
        <w:t xml:space="preserve">As autoras argumentam que o Sistema Interamericano de Direitos Humanos exerce função pedagógica e transformadora sobre os ordenamentos jurídicos nacionais, ao incorporar padrões protetivos que frequentemente superam os parâmetros mínimos estabelecidos pelo direito interno, especialmente em matéria de proteção de grupos vulneráveis, como povos indígenas, comunidades quilombolas e populações tradicionais. Esse fenômeno, denominado diálogo </w:t>
      </w:r>
      <w:proofErr w:type="spellStart"/>
      <w:r>
        <w:rPr>
          <w:szCs w:val="24"/>
        </w:rPr>
        <w:t>interjurisdicional</w:t>
      </w:r>
      <w:proofErr w:type="spellEnd"/>
      <w:r>
        <w:rPr>
          <w:szCs w:val="24"/>
        </w:rPr>
        <w:t>, permite que decisões da Corte Interamericana influenciem diretamente a interpretação constitucional realizada pelos tribunais nacionais.</w:t>
      </w:r>
    </w:p>
    <w:p w14:paraId="1E582353" w14:textId="77777777" w:rsidR="00315D0A" w:rsidRDefault="00315D0A">
      <w:pPr>
        <w:ind w:firstLine="709"/>
        <w:jc w:val="both"/>
        <w:rPr>
          <w:szCs w:val="24"/>
        </w:rPr>
      </w:pPr>
      <w:r>
        <w:t>No cenário nacional, destaca-se o entendimento fixado pelo STF no julgamento do ARE 1.011.906/DF, bem como na jurisprudência firmada em sede de controle concentrado (como na ADI 5.905), onde a Suprema Corte assentou o caráter vinculante, o status supralegal e a autoaplicabilidade da Convenção nº 169 da OIT no direito brasileiro. Sob essa ótica, o STF firmou que a consulta aos povos afetados deve ocorrer na fase de planejamento da obra, sendo nulo o procedimento administrativo de licenciamento ambiental que negligenciar essa etapa processual ou que pretender realizar a oitiva das comunidades de forma meramente pro forma ou tardia.</w:t>
      </w:r>
    </w:p>
    <w:p w14:paraId="364FF36E" w14:textId="77777777" w:rsidR="004671C5" w:rsidRDefault="004671C5">
      <w:pPr>
        <w:ind w:firstLine="709"/>
        <w:jc w:val="both"/>
        <w:rPr>
          <w:szCs w:val="24"/>
        </w:rPr>
      </w:pPr>
      <w:r w:rsidRPr="004671C5">
        <w:rPr>
          <w:szCs w:val="24"/>
        </w:rPr>
        <w:t>De igual modo, o STJ, em reiterados julgamentos envolvendo grandes obras amazônicas inclusive no âmbito de pedidos de Suspensão de Liminar e Sentença, tem rechaçado a tese de que imperativos econômicos ou de segurança nacional possam justificar o atropelo de salvaguardas socioambientais, exigindo a apresentação rigorosa do Estudo de Impacto Ambiental e Relatório de Impacto Ambiental (EIA/RIMA) com a devida inclusão do Componente Indígena e Quilombola.</w:t>
      </w:r>
    </w:p>
    <w:p w14:paraId="343A995B" w14:textId="77777777" w:rsidR="00BC0BBE" w:rsidRPr="00BC0BBE" w:rsidRDefault="00BC0BBE" w:rsidP="00BC0BBE">
      <w:pPr>
        <w:ind w:firstLine="709"/>
        <w:jc w:val="both"/>
        <w:rPr>
          <w:szCs w:val="24"/>
        </w:rPr>
      </w:pPr>
      <w:r w:rsidRPr="00BC0BBE">
        <w:rPr>
          <w:szCs w:val="24"/>
        </w:rPr>
        <w:t>No plano regional interamericano, a proteção aos territórios tradicionais e à sobrevivência física e cultural das populações tradicionais foi moldada por meio de quatro precedentes fundamentais da Corte IDH, cujos parâmetros são diretamente aplicáveis ao caso da BR-319:</w:t>
      </w:r>
    </w:p>
    <w:p w14:paraId="4719FC18" w14:textId="77777777" w:rsidR="00BC0BBE" w:rsidRPr="00BC0BBE" w:rsidRDefault="00BC0BBE" w:rsidP="00BC0BBE">
      <w:pPr>
        <w:numPr>
          <w:ilvl w:val="0"/>
          <w:numId w:val="2"/>
        </w:numPr>
        <w:ind w:left="0" w:firstLine="709"/>
        <w:jc w:val="both"/>
        <w:rPr>
          <w:szCs w:val="24"/>
        </w:rPr>
      </w:pPr>
      <w:r>
        <w:t xml:space="preserve">Caso </w:t>
      </w:r>
      <w:proofErr w:type="spellStart"/>
      <w:r>
        <w:t>Yakye</w:t>
      </w:r>
      <w:proofErr w:type="spellEnd"/>
      <w:r>
        <w:t xml:space="preserve"> </w:t>
      </w:r>
      <w:proofErr w:type="spellStart"/>
      <w:r>
        <w:t>Axa</w:t>
      </w:r>
      <w:proofErr w:type="spellEnd"/>
      <w:r>
        <w:t xml:space="preserve"> vs. Paraguai (2005): Neste julgado histórico, a Corte IDH reconheceu a íntima e indissociável conexão entre o direito de propriedade das comunidades tradicionais sobre suas terras ancestrais e a garantia de uma vida digna. A Corte estabeleceu que a perda ou o impedimento de acesso aos territórios tradicionais priva as comunidades de seus meios tradicionais de subsistência, inviabilizando o acesso a direitos materiais básicos como alimentação, água potável, saúde e educação. No contexto da BR-319, o precedente adverte que o avanço da infraestrutura não pode se dar à custa do estrangulamento ou </w:t>
      </w:r>
      <w:r>
        <w:lastRenderedPageBreak/>
        <w:t>isolamento de territórios indígenas e ribeirinhos, sob pena de violação direta ao direito à vida digna.</w:t>
      </w:r>
    </w:p>
    <w:p w14:paraId="4AE8FBDC" w14:textId="77777777" w:rsidR="00BC0BBE" w:rsidRPr="00BC0BBE" w:rsidRDefault="00BC0BBE" w:rsidP="00BC0BBE">
      <w:pPr>
        <w:numPr>
          <w:ilvl w:val="0"/>
          <w:numId w:val="2"/>
        </w:numPr>
        <w:ind w:left="0" w:firstLine="709"/>
        <w:jc w:val="both"/>
        <w:rPr>
          <w:szCs w:val="24"/>
        </w:rPr>
      </w:pPr>
      <w:r>
        <w:t xml:space="preserve">Caso </w:t>
      </w:r>
      <w:proofErr w:type="spellStart"/>
      <w:r>
        <w:t>Saramaka</w:t>
      </w:r>
      <w:proofErr w:type="spellEnd"/>
      <w:r>
        <w:t xml:space="preserve"> People vs. Suriname (2007): Representa o leading case sobre grandes empreendimentos de desenvolvimento em terras tradicionais. A Corte IDH estipulou três salvaguardas essenciais para garantir que concessões de infraestrutura ou exploração de recursos naturais não violem os direitos dessas populações: (i) a realização de um processo de consulta prévia, livre, informada e de boa-fé, com o objetivo de obter o consentimento das comunidades afetadas; (ii) a garantia de que as populações compartilhem de forma razoável e equitativa dos benefícios econômicos gerados pelo empreendimento; e (iii) a elaboração prévia de estudos de impacto socioambiental abrangentes e independentes, conduzidos por entidades tecnicamente qualificadas. A ausência de qualquer uma dessas salvaguardas contamina a legitimidade convencional de obras de infraestrutura como a BR-319.</w:t>
      </w:r>
    </w:p>
    <w:p w14:paraId="67130A46" w14:textId="77777777" w:rsidR="00BC0BBE" w:rsidRPr="00BC0BBE" w:rsidRDefault="00BC0BBE" w:rsidP="00BC0BBE">
      <w:pPr>
        <w:numPr>
          <w:ilvl w:val="0"/>
          <w:numId w:val="2"/>
        </w:numPr>
        <w:ind w:left="0" w:firstLine="709"/>
        <w:jc w:val="both"/>
        <w:rPr>
          <w:szCs w:val="24"/>
        </w:rPr>
      </w:pPr>
      <w:r>
        <w:t xml:space="preserve">Caso Comunidade Indígena </w:t>
      </w:r>
      <w:proofErr w:type="spellStart"/>
      <w:r>
        <w:t>Xákmok</w:t>
      </w:r>
      <w:proofErr w:type="spellEnd"/>
      <w:r>
        <w:t xml:space="preserve"> Kásek vs. Paraguai (2010): A Corte IDH aprofundou o entendimento sobre o direito de propriedade coletiva e delimitou os contornos do direito humano ao acesso à justiça em matéria territorial. A decisão determinou que as vias judiciais e administrativas destinadas a demarcar, titular e proteger as terras tradicionais devem ser rápidas, céleres e efetivas. A lentidão injustificada do Estado brasileiro na demarcação de terras indígenas e na titulação de territórios tradicionais ao longo do "trecho do meio" da BR-319 perpetua cenários de vulnerabilidade e viola a garantia de tutela judicial efetiva prevista no artigo 25 da Convenção Americana sobre Direitos Humanos.</w:t>
      </w:r>
    </w:p>
    <w:p w14:paraId="607E1A16" w14:textId="77777777" w:rsidR="00BC0BBE" w:rsidRPr="00BC0BBE" w:rsidRDefault="00BC0BBE" w:rsidP="00BC0BBE">
      <w:pPr>
        <w:numPr>
          <w:ilvl w:val="0"/>
          <w:numId w:val="2"/>
        </w:numPr>
        <w:ind w:left="0" w:firstLine="709"/>
        <w:jc w:val="both"/>
        <w:rPr>
          <w:szCs w:val="24"/>
        </w:rPr>
      </w:pPr>
      <w:r>
        <w:t>Caso Povos Indígenas da Associação Lhaka Honhat vs. Argentina (2020): Trata-se de um marco jurisprudencial sem precedentes, no qual a Corte IDH declarou, pela primeira vez de forma autônoma, a violação aos direitos ao meio ambiente ecologicamente equilibrado, à alimentação adequada, à água potável e à identidade cultural (com base no artigo 26 da Convenção Americana). A decisão reconheceu que a integridade ambiental dos territórios tradicionais é pressuposta para a sobrevivência cultural e física dos povos indígenas. Aplicado à BR-319, o precedente exige que o Estado se abstenha de promover obras que alterem de forma irreversível os ecossistemas amazônicos locais, consagrando a justiça ecológica e climática como direitos diretamente exigíveis no plano internacional.</w:t>
      </w:r>
    </w:p>
    <w:p w14:paraId="60BBA518" w14:textId="77777777" w:rsidR="003872B9" w:rsidRPr="00A93FA2" w:rsidRDefault="0073353F">
      <w:pPr>
        <w:ind w:firstLine="709"/>
        <w:jc w:val="both"/>
      </w:pPr>
      <w:r>
        <w:rPr>
          <w:szCs w:val="24"/>
        </w:rPr>
        <w:t xml:space="preserve">No contexto da BR-319, a jurisprudência interamericana sobre direitos territoriais de povos indígenas e comunidades tradicionais oferece parâmetros relevantes para a análise da legitimidade do processo de licenciamento ambiental da obra, especialmente no que se refere à </w:t>
      </w:r>
      <w:r>
        <w:rPr>
          <w:szCs w:val="24"/>
        </w:rPr>
        <w:lastRenderedPageBreak/>
        <w:t xml:space="preserve">obrigatoriedade de consulta prévia, livre e informada às comunidades afetadas, bem como à necessidade de estudos de impacto ambiental e cultural que considerem adequadamente as especificidades dos modos de vida tradicionais existentes ao longo do trecho não pavimentado da rodovia </w:t>
      </w:r>
      <w:r w:rsidR="00EF4A8C" w:rsidRPr="00EF4A8C">
        <w:rPr>
          <w:szCs w:val="24"/>
        </w:rPr>
        <w:t>(Morales Antoniazzi; Piovesan; Cruz, 2024).</w:t>
      </w:r>
    </w:p>
    <w:p w14:paraId="19B9612A" w14:textId="77777777" w:rsidR="003872B9" w:rsidRDefault="0073353F">
      <w:pPr>
        <w:ind w:firstLine="709"/>
        <w:jc w:val="both"/>
      </w:pPr>
      <w:r>
        <w:rPr>
          <w:szCs w:val="24"/>
        </w:rPr>
        <w:t>A dimensão institucional do impacto do Sistema Interamericano de Direitos Humanos manifesta</w:t>
      </w:r>
      <w:r w:rsidR="00F36579">
        <w:rPr>
          <w:szCs w:val="24"/>
        </w:rPr>
        <w:t>-</w:t>
      </w:r>
      <w:r>
        <w:rPr>
          <w:szCs w:val="24"/>
        </w:rPr>
        <w:t>se, ainda, na pressão exercida sobre os Estados para o fortalecimento de instituições nacionais de proteção de direitos humanos, incluindo órgãos ambientais, defensorias públicas e ministérios públicos especializados. Essa dinâmica reforça a importância de que o processo de repavimentação da BR-319 seja acompanhado por instituições nacionais dotadas de capacidade técnica e institucional suficiente para fiscalizar adequadamente seus impactos socioambientais, em consonância com os padrões protetivos internacionais.</w:t>
      </w:r>
    </w:p>
    <w:p w14:paraId="77D13AC2" w14:textId="77777777" w:rsidR="003872B9" w:rsidRDefault="0073353F">
      <w:pPr>
        <w:ind w:firstLine="709"/>
        <w:jc w:val="both"/>
      </w:pPr>
      <w:r>
        <w:t>Complementarmente à análise do sistema interamericano, a discussão sobre o constitucionalismo democrático oferece referencial teórico para a compreensão dos riscos de retrocesso em matéria de direitos fundamentais e ambientais associados a grandes projetos de infraestrutura. Pisarello (2012), ao analisar criticamente a história do constitucionalismo antidemocrático na América Latina, denomina de longo Termidor o processo histórico de contenção e retração das conquistas democráticas e sociais obtidas em momentos de maior mobilização popular.</w:t>
      </w:r>
    </w:p>
    <w:p w14:paraId="30C80EA7" w14:textId="77777777" w:rsidR="003872B9" w:rsidRDefault="00A93FA2">
      <w:pPr>
        <w:ind w:firstLine="709"/>
        <w:jc w:val="both"/>
      </w:pPr>
      <w:r>
        <w:t>Pisarello (2012) argumenta que, ao longo da história latino-americana, períodos de avanço democrático e de ampliação de direitos sociais e ambientais frequentemente são seguidos por movimentos de retrocesso, conduzidos por elites políticas e econômicas interessadas na manutenção de estruturas de poder tradicionais. Essa dinâmica manifesta-se tanto por meio de reformas constitucionais regressivas quanto por práticas administrativas que esvaziam, na prática, direitos formalmente reconhecidos pelos textos constitucionais.</w:t>
      </w:r>
    </w:p>
    <w:p w14:paraId="05E6DEFC" w14:textId="77777777" w:rsidR="003872B9" w:rsidRDefault="0073353F">
      <w:pPr>
        <w:ind w:firstLine="709"/>
        <w:jc w:val="both"/>
      </w:pPr>
      <w:r>
        <w:rPr>
          <w:szCs w:val="24"/>
        </w:rPr>
        <w:t xml:space="preserve">A aplicação da crítica de </w:t>
      </w:r>
      <w:proofErr w:type="spellStart"/>
      <w:r>
        <w:rPr>
          <w:szCs w:val="24"/>
        </w:rPr>
        <w:t>Pisarello</w:t>
      </w:r>
      <w:proofErr w:type="spellEnd"/>
      <w:r>
        <w:rPr>
          <w:szCs w:val="24"/>
        </w:rPr>
        <w:t xml:space="preserve"> ao contexto da BR-319 permite compreender os riscos de que o discurso desenvolvimentista associado à obra represente, na prática, retrocesso em relação aos avanços obtidos nas últimas décadas em matéria de proteção ambiental e de reconhecimento de direitos territoriais de povos indígenas e comunidades tradicionais na Amazônia brasileira. A repavimentação da rodovia, se conduzida sem observância dos parâmetros constitucionais e internacionais de proteção, pode configurar retrocesso na tutela desses direitos.</w:t>
      </w:r>
    </w:p>
    <w:p w14:paraId="05051383" w14:textId="77777777" w:rsidR="003872B9" w:rsidRDefault="0073353F">
      <w:pPr>
        <w:ind w:firstLine="709"/>
        <w:jc w:val="both"/>
      </w:pPr>
      <w:r>
        <w:rPr>
          <w:szCs w:val="24"/>
        </w:rPr>
        <w:lastRenderedPageBreak/>
        <w:t xml:space="preserve">O constitucionalismo democrático, nos termos propostos por </w:t>
      </w:r>
      <w:proofErr w:type="spellStart"/>
      <w:r>
        <w:rPr>
          <w:szCs w:val="24"/>
        </w:rPr>
        <w:t>Pisarello</w:t>
      </w:r>
      <w:proofErr w:type="spellEnd"/>
      <w:r>
        <w:rPr>
          <w:szCs w:val="24"/>
        </w:rPr>
        <w:t xml:space="preserve"> (2012), exige que as decisões relativas a grandes empreendimentos de infraestrutura sejam submetidas a processos deliberativos amplos e inclusivos, que garantam a efetiva participação da sociedade civil, especialmente dos grupos diretamente afetados, na definição dos rumos do desenvolvimento regional. A ausência desses processos participativos compromete a legitimidade democrática das decisões estatais e favorece a captura das políticas públicas por interesses econômicos particulares.</w:t>
      </w:r>
    </w:p>
    <w:p w14:paraId="2ECA3147" w14:textId="77777777" w:rsidR="003872B9" w:rsidRDefault="0073353F">
      <w:pPr>
        <w:ind w:firstLine="709"/>
        <w:jc w:val="both"/>
      </w:pPr>
      <w:r>
        <w:t>A articulação entre o Sistema Interamericano de Direitos Humanos e o constitucionalismo democrático oferece, assim, base teórica para a análise crítica da repavimentação da BR-319, permitindo compreender que a legitimidade jurídica da obra depende tanto da observância dos padrões protetivos internacionais quanto do fortalecimento dos processos democráticos internos de participação e controle social sobre grandes empreendimentos de infraestrutura.</w:t>
      </w:r>
    </w:p>
    <w:p w14:paraId="1DD13C79" w14:textId="77777777" w:rsidR="003872B9" w:rsidRDefault="0073353F">
      <w:pPr>
        <w:ind w:firstLine="709"/>
        <w:jc w:val="both"/>
      </w:pPr>
      <w:r>
        <w:rPr>
          <w:szCs w:val="24"/>
        </w:rPr>
        <w:t>A jurisprudência da Corte Interamericana de Direitos Humanos em casos envolvendo povos indígenas na América Latina tem consolidado o entendimento de que a proteção territorial constitui condição essencial à sobrevivência física e cultural dessas comunidades, o que reforça a necessidade de que o Estado brasileiro adote, no processo de repavimentação da BR-319, medidas efetivas de proteção territorial e cultural das comunidades indígenas e tradicionais afetadas pela obra.</w:t>
      </w:r>
    </w:p>
    <w:p w14:paraId="7F09B2F6" w14:textId="77777777" w:rsidR="003872B9" w:rsidRDefault="0073353F">
      <w:pPr>
        <w:ind w:firstLine="709"/>
        <w:jc w:val="both"/>
      </w:pPr>
      <w:r>
        <w:rPr>
          <w:szCs w:val="24"/>
        </w:rPr>
        <w:t>Verifica</w:t>
      </w:r>
      <w:r w:rsidR="003B50FD">
        <w:rPr>
          <w:szCs w:val="24"/>
        </w:rPr>
        <w:t>-</w:t>
      </w:r>
      <w:r>
        <w:rPr>
          <w:szCs w:val="24"/>
        </w:rPr>
        <w:t>se, portanto, que a proteção jurídica adequada frente aos impactos da BR-319 depende da incorporação simultânea dos padrões protetivos consolidados pelo Sistema Interamericano de Direitos Humanos e dos referenciais críticos do constitucionalismo democrático, de modo a assegurar que o desenvolvimento da infraestrutura regional não represente retrocesso nas conquistas históricas de proteção de direitos fundamentais e ambientais na Amazônia brasileira.</w:t>
      </w:r>
    </w:p>
    <w:p w14:paraId="322392BC" w14:textId="77777777" w:rsidR="003872B9" w:rsidRDefault="0073353F">
      <w:pPr>
        <w:ind w:firstLine="709"/>
        <w:jc w:val="both"/>
      </w:pPr>
      <w:r>
        <w:t>Conclui-se, assim, que a tutela efetiva dos direitos das populações amazônicas diante da repavimentação da BR-319 exige diálogo permanente entre as instâncias nacionais e internacionais de proteção de direitos humanos, de modo a garantir que os compromissos assumidos pelo Brasil no plano interamericano sejam efetivamente observados na condução do empreendimento, prevenindo-se, assim, retrocessos democráticos e violações de direitos fundamentais historicamente consolidados.</w:t>
      </w:r>
    </w:p>
    <w:p w14:paraId="19C10A72" w14:textId="1AC8F05A" w:rsidR="003872B9" w:rsidRPr="00173BB9" w:rsidRDefault="0073353F">
      <w:pPr>
        <w:pStyle w:val="Ttulo1"/>
        <w:keepNext/>
        <w:spacing w:before="240" w:after="120" w:line="360" w:lineRule="auto"/>
        <w:rPr>
          <w:color w:val="1A1A1A" w:themeColor="background1" w:themeShade="1A"/>
        </w:rPr>
      </w:pPr>
      <w:r w:rsidRPr="00173BB9">
        <w:rPr>
          <w:b/>
          <w:bCs/>
          <w:szCs w:val="28"/>
        </w:rPr>
        <w:lastRenderedPageBreak/>
        <w:t xml:space="preserve"> CONSIDERAÇÕES FINAIS</w:t>
      </w:r>
    </w:p>
    <w:p w14:paraId="1DBA6A38" w14:textId="77777777" w:rsidR="003872B9" w:rsidRDefault="0073353F">
      <w:pPr>
        <w:ind w:firstLine="709"/>
        <w:jc w:val="both"/>
      </w:pPr>
      <w:r>
        <w:rPr>
          <w:szCs w:val="24"/>
        </w:rPr>
        <w:t>A análise desenvolvida ao longo deste artigo permite concluir que a repavimentação da BR-319 constitui fenômeno jurídico complexo, que não pode ser compreendido isoladamente sob a ótica da infraestrutura ou do desenvolvimento econômico regional, exigindo articulação cuidadosa entre os princípios constitucionais da dignidade da pessoa humana e do direito de ir e vir, de um lado, e os imperativos de proteção ambiental e de tutela dos direitos das populações tradicionais amazônicas, de outro.</w:t>
      </w:r>
    </w:p>
    <w:p w14:paraId="13899FAB" w14:textId="77777777" w:rsidR="003872B9" w:rsidRDefault="0073353F">
      <w:pPr>
        <w:ind w:firstLine="709"/>
        <w:jc w:val="both"/>
      </w:pPr>
      <w:r>
        <w:rPr>
          <w:szCs w:val="24"/>
        </w:rPr>
        <w:t>Verificou</w:t>
      </w:r>
      <w:r w:rsidR="003B50FD">
        <w:rPr>
          <w:szCs w:val="24"/>
        </w:rPr>
        <w:t>-</w:t>
      </w:r>
      <w:r>
        <w:rPr>
          <w:szCs w:val="24"/>
        </w:rPr>
        <w:t>se que o direito de ir e vir, embora constitua garantia fundamental relevante para a integração das populações amazonenses, não pode ser exercido de forma dissociada da preservação ambiental e da proteção dos modos de vida tradicionais, sob pena de a expansão da infraestrutura viária converter</w:t>
      </w:r>
      <w:r w:rsidR="001372E4">
        <w:rPr>
          <w:szCs w:val="24"/>
        </w:rPr>
        <w:t>-</w:t>
      </w:r>
      <w:r>
        <w:rPr>
          <w:szCs w:val="24"/>
        </w:rPr>
        <w:t>se em instrumento de degradação socioambiental, em contradição com o próprio fundamento da dignidade da pessoa humana que pretende, em tese, promover.</w:t>
      </w:r>
    </w:p>
    <w:p w14:paraId="21BF14E0" w14:textId="77777777" w:rsidR="003872B9" w:rsidRPr="008E78E7" w:rsidRDefault="008E78E7">
      <w:pPr>
        <w:ind w:firstLine="709"/>
        <w:jc w:val="both"/>
      </w:pPr>
      <w:r>
        <w:t>Quanto ao acesso à justiça, a análise indica que a legitimidade jurídica do empreendimento da BR-319 não decorre apenas da facilidade de deslocamento até os tribunais. O acesso à justiça também compreende a garantia de canais institucionais de defesa de direitos, como as defensorias públicas e o Ministério Público, necessários à representação qualificada dos povos indígenas e das comunidades tradicionais diante das transformações socioambientais e das potenciais violações associadas à obra.</w:t>
      </w:r>
    </w:p>
    <w:p w14:paraId="3A90A03B" w14:textId="77777777" w:rsidR="003872B9" w:rsidRDefault="0073353F">
      <w:pPr>
        <w:ind w:firstLine="709"/>
        <w:jc w:val="both"/>
      </w:pPr>
      <w:r>
        <w:rPr>
          <w:szCs w:val="24"/>
        </w:rPr>
        <w:t xml:space="preserve">A discussão sobre democracia ambiental e litigância climática evidenciou que a legitimidade da repavimentação da BR-319 depende da observância dos princípios consagrados no Acordo de </w:t>
      </w:r>
      <w:proofErr w:type="spellStart"/>
      <w:r>
        <w:rPr>
          <w:szCs w:val="24"/>
        </w:rPr>
        <w:t>Escazú</w:t>
      </w:r>
      <w:proofErr w:type="spellEnd"/>
      <w:r>
        <w:rPr>
          <w:szCs w:val="24"/>
        </w:rPr>
        <w:t>, notadamente o acesso à informação, a participação pública e o acesso à justiça em matéria ambiental, bem como do reconhecimento da litigância climática como instrumento legítimo de resistência das comunidades vulneráveis do Sul Global frente a empreendimentos com potencial de causar dano socioambiental significativo.</w:t>
      </w:r>
    </w:p>
    <w:p w14:paraId="595FBC84" w14:textId="77777777" w:rsidR="003872B9" w:rsidRDefault="0073353F">
      <w:pPr>
        <w:ind w:firstLine="709"/>
        <w:jc w:val="both"/>
      </w:pPr>
      <w:r>
        <w:rPr>
          <w:szCs w:val="24"/>
        </w:rPr>
        <w:t>A análise do Sistema Interamericano de Direitos Humanos e do constitucionalismo democrático permitiu compreender que a condução da obra deve observar os padrões protetivos internacionais consolidados em matéria de direitos territoriais e culturais de povos indígenas e comunidades tradicionais, sob pena de configurar retrocesso nas conquistas democráticas historicamente obtidas em matéria de proteção ambiental e de direitos fundamentais na região amazônica.</w:t>
      </w:r>
    </w:p>
    <w:p w14:paraId="48CFFFED" w14:textId="77777777" w:rsidR="003872B9" w:rsidRDefault="0073353F">
      <w:pPr>
        <w:ind w:firstLine="709"/>
        <w:jc w:val="both"/>
        <w:rPr>
          <w:szCs w:val="24"/>
        </w:rPr>
      </w:pPr>
      <w:r>
        <w:rPr>
          <w:szCs w:val="24"/>
        </w:rPr>
        <w:lastRenderedPageBreak/>
        <w:t xml:space="preserve">Diante do exposto, </w:t>
      </w:r>
      <w:r w:rsidRPr="001759F7">
        <w:rPr>
          <w:szCs w:val="24"/>
        </w:rPr>
        <w:t>conclui</w:t>
      </w:r>
      <w:r w:rsidR="001759F7" w:rsidRPr="001759F7">
        <w:rPr>
          <w:szCs w:val="24"/>
        </w:rPr>
        <w:t>-</w:t>
      </w:r>
      <w:r w:rsidRPr="001759F7">
        <w:rPr>
          <w:szCs w:val="24"/>
        </w:rPr>
        <w:t xml:space="preserve">se </w:t>
      </w:r>
      <w:r>
        <w:rPr>
          <w:szCs w:val="24"/>
        </w:rPr>
        <w:t>que a repavimentação da BR-319 somente poderá ser considerada juridicamente legítima se conduzida mediante licenciamento ambiental rigoroso, consulta prévia efetiva às comunidades afetadas, fortalecimento institucional dos órgãos de fiscalização e de acesso à justiça, e observância dos compromissos internacionais assumidos pelo Brasil em matéria de direitos humanos e proteção ambiental, de modo a compatibilizar o desenvolvimento regional com a preservação da dignidade das populações amazônicas e da integridade ecológica da floresta.</w:t>
      </w:r>
    </w:p>
    <w:p w14:paraId="6E99F71E" w14:textId="77777777" w:rsidR="003872B9" w:rsidRDefault="0073353F">
      <w:pPr>
        <w:ind w:firstLine="709"/>
        <w:jc w:val="both"/>
      </w:pPr>
      <w:r>
        <w:rPr>
          <w:szCs w:val="24"/>
        </w:rPr>
        <w:t xml:space="preserve">Por fim, </w:t>
      </w:r>
      <w:r w:rsidRPr="001759F7">
        <w:rPr>
          <w:szCs w:val="24"/>
        </w:rPr>
        <w:t>recomenda</w:t>
      </w:r>
      <w:r w:rsidR="001759F7" w:rsidRPr="001759F7">
        <w:rPr>
          <w:szCs w:val="24"/>
        </w:rPr>
        <w:t>-</w:t>
      </w:r>
      <w:r w:rsidRPr="001759F7">
        <w:rPr>
          <w:szCs w:val="24"/>
        </w:rPr>
        <w:t xml:space="preserve">se </w:t>
      </w:r>
      <w:r>
        <w:rPr>
          <w:szCs w:val="24"/>
        </w:rPr>
        <w:t>que futuras pesquisas aprofundem a análise empírica dos impactos concretos da obra sobre comunidades específicas ao longo do trecho não pavimentado da rodovia, bem como o acompanhamento da judicialização de conflitos socioambientais decorrentes da repavimentação, de modo a construir diagnóstico mais preciso sobre a efetividade dos mecanismos jurídicos de proteção examinados neste trabalho e a subsidiar o aprimoramento das políticas públicas voltadas ao desenvolvimento sustentável da Amazônia.</w:t>
      </w:r>
    </w:p>
    <w:p w14:paraId="23AA39CE" w14:textId="77777777" w:rsidR="003872B9" w:rsidRPr="00173BB9" w:rsidRDefault="0073353F">
      <w:pPr>
        <w:pStyle w:val="Ttulo1"/>
        <w:keepNext/>
        <w:spacing w:before="240" w:after="120" w:line="360" w:lineRule="auto"/>
        <w:rPr>
          <w:color w:val="1A1A1A" w:themeColor="background1" w:themeShade="1A"/>
        </w:rPr>
      </w:pPr>
      <w:r w:rsidRPr="00173BB9">
        <w:rPr>
          <w:b/>
          <w:bCs/>
          <w:szCs w:val="28"/>
        </w:rPr>
        <w:t>REFERÊNCIAS</w:t>
      </w:r>
    </w:p>
    <w:p w14:paraId="547849B5" w14:textId="77777777" w:rsidR="00F521F7" w:rsidRPr="00F521F7" w:rsidRDefault="00F521F7" w:rsidP="00F521F7">
      <w:pPr>
        <w:spacing w:after="240" w:line="240" w:lineRule="auto"/>
        <w:rPr>
          <w:szCs w:val="24"/>
        </w:rPr>
      </w:pPr>
      <w:r>
        <w:t xml:space="preserve">BENTES, Dorinethe dos Santos. </w:t>
      </w:r>
      <w:r>
        <w:rPr>
          <w:b/>
        </w:rPr>
        <w:t>Acesso à Justiça do Trabalho pela Via dos Direitos: um olhar sobre a aplicação do jus postulandi no contexto amazonense</w:t>
      </w:r>
      <w:r>
        <w:t>. Belo Horizonte: Editora Expert, 2024. Cap. 2 e 3. Disponível em: https://experteditora.com.br/wp-content/uploads/2024/12/Acesso-a-Justica-Do-Trabalho-pela-via-dos-Direitos-Um-Olhar-Sobre-a-Aplicacao-do-Jus-Postulandi-no-Contexto-Amazonense.pdf. Acesso em: 2 jun. 2026.</w:t>
      </w:r>
    </w:p>
    <w:p w14:paraId="25B09599" w14:textId="77777777" w:rsidR="00F521F7" w:rsidRPr="00F521F7" w:rsidRDefault="00F521F7" w:rsidP="00F521F7">
      <w:pPr>
        <w:spacing w:after="240" w:line="240" w:lineRule="auto"/>
        <w:rPr>
          <w:szCs w:val="24"/>
        </w:rPr>
      </w:pPr>
      <w:r>
        <w:t xml:space="preserve">BRASIL. Supremo Tribunal Federal. </w:t>
      </w:r>
      <w:r>
        <w:rPr>
          <w:b/>
        </w:rPr>
        <w:t>Agravo Regimental no Recurso Extraordinário com Agravo n. 1.011.906/DF</w:t>
      </w:r>
      <w:r>
        <w:t>. Relator: Ministro Ricardo Lewandowski. Brasília, DF, 3 mar. 2017. Disponível em: https://portal.stf.jus.br/. Acesso em: 12 ago. 2026.</w:t>
      </w:r>
    </w:p>
    <w:p w14:paraId="0267D731" w14:textId="77777777" w:rsidR="00F521F7" w:rsidRPr="00F521F7" w:rsidRDefault="00F521F7" w:rsidP="00F521F7">
      <w:pPr>
        <w:spacing w:after="240" w:line="240" w:lineRule="auto"/>
        <w:rPr>
          <w:szCs w:val="24"/>
        </w:rPr>
      </w:pPr>
      <w:r>
        <w:t xml:space="preserve">BRASIL. Supremo Tribunal Federal. </w:t>
      </w:r>
      <w:r>
        <w:rPr>
          <w:b/>
        </w:rPr>
        <w:t>Ação Direta de Inconstitucionalidade n. 5.905/RR</w:t>
      </w:r>
      <w:r>
        <w:t>. Relator: Ministro Luiz Fux. Brasília, DF, 2018. Disponível em: https://portal.stf.jus.br/processos/detalhe.asp?incidente=5354030. Acesso em: 12 ago. 2026.</w:t>
      </w:r>
    </w:p>
    <w:p w14:paraId="64B726A6" w14:textId="77777777" w:rsidR="00F521F7" w:rsidRPr="00F521F7" w:rsidRDefault="00F521F7" w:rsidP="00F521F7">
      <w:pPr>
        <w:spacing w:after="240" w:line="240" w:lineRule="auto"/>
        <w:rPr>
          <w:szCs w:val="24"/>
        </w:rPr>
      </w:pPr>
      <w:r>
        <w:t xml:space="preserve">CORTE INTERAMERICANA DE DIREITOS HUMANOS. </w:t>
      </w:r>
      <w:r>
        <w:rPr>
          <w:b/>
        </w:rPr>
        <w:t>Caso Comunidad Indígena Xákmok Kásek Vs. Paraguay: Fondo, Reparaciones y Costas</w:t>
      </w:r>
      <w:r>
        <w:t>. Sentencia de 24 de agosto de 2010. San José, Costa Rica: Corte Interamericana de Derechos Humanos, 2010. Serie C, n. 214. Disponível em: https://www.corteidh.or.cr/docs/casos/articulos/seriec_214_esp.pdf. Acesso em: 13 ago. 2026.</w:t>
      </w:r>
    </w:p>
    <w:p w14:paraId="6152A2D2" w14:textId="77777777" w:rsidR="00F521F7" w:rsidRPr="00F521F7" w:rsidRDefault="00F521F7" w:rsidP="00F521F7">
      <w:pPr>
        <w:spacing w:after="240" w:line="240" w:lineRule="auto"/>
        <w:rPr>
          <w:szCs w:val="24"/>
        </w:rPr>
      </w:pPr>
      <w:r>
        <w:t xml:space="preserve">CORTE INTERAMERICANA DE DIREITOS HUMANOS. </w:t>
      </w:r>
      <w:r>
        <w:rPr>
          <w:b/>
        </w:rPr>
        <w:t>Caso Comunidad Indígena Yakye Axa Vs. Paraguay: Fondo, Reparaciones y Costas</w:t>
      </w:r>
      <w:r>
        <w:t>. Sentencia de 17 de junio de 2005. San José, Costa Rica: Corte Interamericana de Derechos Humanos, 2005. Serie C, n. 125. Disponível em: https://www.corteidh.or.cr/docs/casos/articulos/seriec_125_por.pdf. Acesso em: 13 ago. 2026.</w:t>
      </w:r>
    </w:p>
    <w:p w14:paraId="3A3D2E14" w14:textId="77777777" w:rsidR="00F521F7" w:rsidRPr="00F521F7" w:rsidRDefault="00F521F7" w:rsidP="00F521F7">
      <w:pPr>
        <w:spacing w:after="240" w:line="240" w:lineRule="auto"/>
        <w:rPr>
          <w:szCs w:val="24"/>
        </w:rPr>
      </w:pPr>
      <w:r>
        <w:lastRenderedPageBreak/>
        <w:t xml:space="preserve">CORTE INTERAMERICANA DE DIREITOS HUMANOS. </w:t>
      </w:r>
      <w:r>
        <w:rPr>
          <w:b/>
        </w:rPr>
        <w:t>Caso Comunidades Indígenas Miembros de la Asociación Lhaka Honhat (Nuestra Tierra) Vs. Argentina: Fondo, Reparaciones y Costas</w:t>
      </w:r>
      <w:r>
        <w:t>. Sentencia de 6 de febrero de 2020. San José, Costa Rica: Corte Interamericana de Derechos Humanos, 2020. Serie C, n. 400. Disponível em: https://www.corteidh.or.cr/docs/casos/articulos/seriec_400_esp.pdf. Acesso em: 13 ago. 2026.</w:t>
      </w:r>
    </w:p>
    <w:p w14:paraId="581D7C4C" w14:textId="77777777" w:rsidR="00F521F7" w:rsidRPr="00F521F7" w:rsidRDefault="00F521F7" w:rsidP="00F521F7">
      <w:pPr>
        <w:spacing w:after="240" w:line="240" w:lineRule="auto"/>
        <w:rPr>
          <w:szCs w:val="24"/>
        </w:rPr>
      </w:pPr>
      <w:r>
        <w:t xml:space="preserve">CORTE INTERAMERICANA DE DIREITOS HUMANOS. </w:t>
      </w:r>
      <w:r>
        <w:rPr>
          <w:b/>
        </w:rPr>
        <w:t>Caso del Pueblo Saramaka Vs. Surinam: Excepciones Preliminares, Fondo, Reparaciones y Costas</w:t>
      </w:r>
      <w:r>
        <w:t>. Sentencia de 28 de novembro de 2007. San José, Costa Rica: Corte Interamericana de Derechos Humanos, 2007. Serie C, n. 172. Disponível em: https://www.corteidh.or.cr/docs/casos/articulos/seriec_172_por.pdf. Acesso em: 13 ago. 2026.</w:t>
      </w:r>
    </w:p>
    <w:p w14:paraId="7E3650F0" w14:textId="77777777" w:rsidR="00F521F7" w:rsidRPr="00F521F7" w:rsidRDefault="00F521F7" w:rsidP="00F521F7">
      <w:pPr>
        <w:spacing w:after="240" w:line="240" w:lineRule="auto"/>
        <w:rPr>
          <w:szCs w:val="24"/>
        </w:rPr>
      </w:pPr>
      <w:r>
        <w:t xml:space="preserve">FERREIRA, Adriano Fernandes et al. </w:t>
      </w:r>
      <w:r>
        <w:rPr>
          <w:b/>
        </w:rPr>
        <w:t>Os impactos ambientais e sociais da repavimentação da Rodovia BR-319: uma análise sob a ótica dos princípios da dignidade da pessoa humana e do direito de ir e vir</w:t>
      </w:r>
      <w:r>
        <w:t>. Unaí, MG: Editora Coleta Científica, 2023. DOI: https://doi.org/10.29327/5341956.</w:t>
      </w:r>
    </w:p>
    <w:p w14:paraId="04CC0585" w14:textId="77777777" w:rsidR="00F521F7" w:rsidRPr="00B63A1B" w:rsidRDefault="00F521F7" w:rsidP="00F521F7">
      <w:pPr>
        <w:spacing w:after="240" w:line="240" w:lineRule="auto"/>
        <w:rPr>
          <w:szCs w:val="24"/>
          <w:lang w:val="en-US"/>
        </w:rPr>
      </w:pPr>
      <w:r>
        <w:t xml:space="preserve">MORALES ANTONIAZZI, Mariela; PIOVESAN, Flávia; CRUZ, Júlia Cortez da Cunha. </w:t>
      </w:r>
      <w:r w:rsidRPr="00B63A1B">
        <w:rPr>
          <w:lang w:val="en-US"/>
        </w:rPr>
        <w:t xml:space="preserve">Inter-American human rights system: sociopolitical, institutional, and cultural dimensions of its transformative impact. </w:t>
      </w:r>
      <w:r>
        <w:t xml:space="preserve">In: MORALES ANTONIAZZI, Mariela; PIOVESAN, Flávia; CRUZ, Júlia Cortez da Cunha (ed.). </w:t>
      </w:r>
      <w:r w:rsidRPr="00B63A1B">
        <w:rPr>
          <w:b/>
          <w:lang w:val="en-US"/>
        </w:rPr>
        <w:t>The impact of the Inter-American Human Rights System: transformations on the ground</w:t>
      </w:r>
      <w:r w:rsidRPr="00B63A1B">
        <w:rPr>
          <w:lang w:val="en-US"/>
        </w:rPr>
        <w:t xml:space="preserve">. Oxford: Oxford University Press, 2024. </w:t>
      </w:r>
      <w:proofErr w:type="gramStart"/>
      <w:r w:rsidRPr="00B63A1B">
        <w:rPr>
          <w:lang w:val="en-US"/>
        </w:rPr>
        <w:t>p. 49</w:t>
      </w:r>
      <w:proofErr w:type="gramEnd"/>
      <w:r w:rsidRPr="00B63A1B">
        <w:rPr>
          <w:lang w:val="en-US"/>
        </w:rPr>
        <w:t>-</w:t>
      </w:r>
      <w:proofErr w:type="gramStart"/>
      <w:r w:rsidRPr="00B63A1B">
        <w:rPr>
          <w:lang w:val="en-US"/>
        </w:rPr>
        <w:t>75</w:t>
      </w:r>
      <w:proofErr w:type="gramEnd"/>
      <w:r w:rsidRPr="00B63A1B">
        <w:rPr>
          <w:lang w:val="en-US"/>
        </w:rPr>
        <w:t>. DOI: https://doi.org/10.1093/oso/9780197744161.003.0004.</w:t>
      </w:r>
    </w:p>
    <w:p w14:paraId="21FC7C63" w14:textId="77777777" w:rsidR="00F521F7" w:rsidRPr="00B63A1B" w:rsidRDefault="00F521F7" w:rsidP="00F521F7">
      <w:pPr>
        <w:spacing w:after="240" w:line="240" w:lineRule="auto"/>
        <w:rPr>
          <w:szCs w:val="24"/>
          <w:lang w:val="en-US"/>
        </w:rPr>
      </w:pPr>
      <w:r w:rsidRPr="00B63A1B">
        <w:rPr>
          <w:lang w:val="en-US"/>
        </w:rPr>
        <w:t xml:space="preserve">MURCOTT, Melanie Jean; TIGRE, Maria Antonia; SAMUEL, Susan Ann. Linking Global South vulnerability, intersectionality, and climate litigation. In: TIGRE, Maria Antonia; MURCOTT, Melanie Jean; SAMUEL, Susan Ann (ed.). </w:t>
      </w:r>
      <w:r w:rsidRPr="00B63A1B">
        <w:rPr>
          <w:b/>
          <w:lang w:val="en-US"/>
        </w:rPr>
        <w:t>Climate litigation and vulnerabilities: Global South perspectives</w:t>
      </w:r>
      <w:r w:rsidRPr="00B63A1B">
        <w:rPr>
          <w:lang w:val="en-US"/>
        </w:rPr>
        <w:t>. Abingdon: Routledge, 2025. DOI: https://doi.org/10.4324/9781003470632-1.</w:t>
      </w:r>
    </w:p>
    <w:p w14:paraId="6E3C96DD" w14:textId="77777777" w:rsidR="00F521F7" w:rsidRPr="00F521F7" w:rsidRDefault="00F521F7" w:rsidP="00F521F7">
      <w:pPr>
        <w:spacing w:after="240" w:line="240" w:lineRule="auto"/>
        <w:rPr>
          <w:szCs w:val="24"/>
        </w:rPr>
      </w:pPr>
      <w:r>
        <w:t xml:space="preserve">PAROLA, G. O Acordo de Escazú 2018: as novidades introduzidas pelo acordo, rumo a uma democracia ambiental na América Latina e no Caribe e o impacto da Covid-19 no processo de ratificação. </w:t>
      </w:r>
      <w:r>
        <w:rPr>
          <w:b/>
        </w:rPr>
        <w:t>Revista Culturas Jurídicas</w:t>
      </w:r>
      <w:r>
        <w:t>, v. 7, n. 16, jan./abr. 2020. Disponível em: https://periodicos.uff.br/culturasjuridicas/article/view/45404. Acesso em: 2 jun. 2026.</w:t>
      </w:r>
    </w:p>
    <w:p w14:paraId="25747F44" w14:textId="77777777" w:rsidR="00F521F7" w:rsidRPr="00F521F7" w:rsidRDefault="00F521F7" w:rsidP="00F521F7">
      <w:pPr>
        <w:spacing w:after="240" w:line="240" w:lineRule="auto"/>
        <w:rPr>
          <w:szCs w:val="24"/>
        </w:rPr>
      </w:pPr>
      <w:r>
        <w:t xml:space="preserve">PISARELLO, Gerardo. </w:t>
      </w:r>
      <w:r>
        <w:rPr>
          <w:b/>
        </w:rPr>
        <w:t>Un largo Termidor: historia y crítica del constitucionalismo antidemocrático</w:t>
      </w:r>
      <w:r>
        <w:t>. Quito: Corte Constitucional para el Período de Transición, 2012.</w:t>
      </w:r>
    </w:p>
    <w:p w14:paraId="01432B99" w14:textId="77777777" w:rsidR="00F521F7" w:rsidRPr="00F521F7" w:rsidRDefault="00F521F7" w:rsidP="00F521F7">
      <w:pPr>
        <w:spacing w:after="240" w:line="240" w:lineRule="auto"/>
        <w:rPr>
          <w:szCs w:val="24"/>
        </w:rPr>
      </w:pPr>
      <w:r>
        <w:t xml:space="preserve">PONTES FILHO, Raimundo Pereira. </w:t>
      </w:r>
      <w:r>
        <w:rPr>
          <w:b/>
        </w:rPr>
        <w:t>Logospirataria na Amazônia Legal</w:t>
      </w:r>
      <w:r>
        <w:t>. 2016. 100 f. Tese (Doutorado em Sociedade e Cultura na Amazônia) — Universidade Federal do Amazonas, Manaus, 2016. Disponível em: http://tede.ufam.edu.br/handle/tede/5487. Acesso em: 2 jun. 2026.</w:t>
      </w:r>
    </w:p>
    <w:p w14:paraId="08EC4289" w14:textId="77777777" w:rsidR="00F521F7" w:rsidRPr="00F521F7" w:rsidRDefault="00F521F7" w:rsidP="00F521F7">
      <w:pPr>
        <w:spacing w:after="240" w:line="240" w:lineRule="auto"/>
        <w:rPr>
          <w:szCs w:val="24"/>
        </w:rPr>
      </w:pPr>
      <w:r>
        <w:t xml:space="preserve">ZANETI JR., Hermes; CASAS MAIA, Maurilio. </w:t>
      </w:r>
      <w:r>
        <w:rPr>
          <w:b/>
        </w:rPr>
        <w:t>Microssistema processual de proteção dos vulneráveis</w:t>
      </w:r>
      <w:r>
        <w:t>. 2. ed. São Paulo: Tirant lo Blanch, 2025.</w:t>
      </w:r>
    </w:p>
    <w:sectPr w:rsidR="00F521F7" w:rsidRPr="00F521F7">
      <w:headerReference w:type="even" r:id="rId7"/>
      <w:headerReference w:type="default" r:id="rId8"/>
      <w:footerReference w:type="even" r:id="rId9"/>
      <w:footerReference w:type="default" r:id="rId10"/>
      <w:headerReference w:type="first" r:id="rId11"/>
      <w:footerReference w:type="first" r:id="rId12"/>
      <w:pgSz w:w="11906" w:h="16838"/>
      <w:pgMar w:top="1701"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ABBFE" w14:textId="77777777" w:rsidR="003406DA" w:rsidRDefault="003406DA">
      <w:r>
        <w:separator/>
      </w:r>
    </w:p>
  </w:endnote>
  <w:endnote w:type="continuationSeparator" w:id="0">
    <w:p w14:paraId="7554CA37" w14:textId="77777777" w:rsidR="003406DA" w:rsidRDefault="00340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9A0B3" w14:textId="77777777" w:rsidR="00C577EB" w:rsidRDefault="00C577EB">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4F5BA" w14:textId="77777777" w:rsidR="005547A9" w:rsidRDefault="00000000">
    <w:r>
      <w:rPr>
        <w:noProof/>
      </w:rPr>
      <w:drawing>
        <wp:inline distT="0" distB="0" distL="0" distR="0" wp14:anchorId="4A693040" wp14:editId="406CE92E">
          <wp:extent cx="5766435" cy="394335"/>
          <wp:effectExtent l="0" t="0" r="0" b="0"/>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1"/>
                  <a:srcRect l="-6" t="-91" r="-6" b="-91"/>
                  <a:stretch>
                    <a:fillRect/>
                  </a:stretch>
                </pic:blipFill>
                <pic:spPr bwMode="auto">
                  <a:xfrm>
                    <a:off x="0" y="0"/>
                    <a:ext cx="5766435" cy="394335"/>
                  </a:xfrm>
                  <a:prstGeom prst="rect">
                    <a:avLst/>
                  </a:prstGeom>
                  <a:noFill/>
                </pic:spPr>
              </pic:pic>
            </a:graphicData>
          </a:graphic>
        </wp:inline>
      </w:drawing>
    </w:r>
  </w:p>
  <w:p w14:paraId="5A33BD1B" w14:textId="77777777" w:rsidR="005547A9" w:rsidRDefault="005547A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F799D" w14:textId="77777777" w:rsidR="00C577EB" w:rsidRDefault="00C577E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81590" w14:textId="77777777" w:rsidR="003406DA" w:rsidRDefault="003406DA">
      <w:pPr>
        <w:spacing w:line="240" w:lineRule="auto"/>
      </w:pPr>
      <w:r>
        <w:rPr>
          <w:sz w:val="20"/>
        </w:rPr>
        <w:separator/>
      </w:r>
    </w:p>
  </w:footnote>
  <w:footnote w:type="continuationSeparator" w:id="0">
    <w:p w14:paraId="467E866D" w14:textId="77777777" w:rsidR="003406DA" w:rsidRDefault="003406DA">
      <w:pPr>
        <w:spacing w:line="240" w:lineRule="auto"/>
      </w:pPr>
      <w:r>
        <w:rPr>
          <w:sz w:val="20"/>
        </w:rPr>
        <w:continuationSeparator/>
      </w:r>
    </w:p>
  </w:footnote>
  <w:footnote w:id="1">
    <w:p w14:paraId="2D3A7310" w14:textId="77777777" w:rsidR="004C2B39" w:rsidRDefault="004C2B39" w:rsidP="00B63A1B">
      <w:pPr>
        <w:pStyle w:val="Textodenotaderodap"/>
        <w:jc w:val="both"/>
      </w:pPr>
      <w:r>
        <w:rPr>
          <w:rStyle w:val="Refdenotaderodap"/>
          <w:sz w:val="20"/>
        </w:rPr>
        <w:footnoteRef/>
      </w:r>
      <w:r>
        <w:rPr>
          <w:sz w:val="20"/>
        </w:rPr>
        <w:t xml:space="preserve"> Graduando do curso de Direito pelo Centro Universitário Fametro. Manaus, Amazonas. E-mail: </w:t>
      </w:r>
      <w:hyperlink r:id="rId1" w:history="1">
        <w:r>
          <w:rPr>
            <w:rStyle w:val="Hyperlink"/>
            <w:sz w:val="20"/>
          </w:rPr>
          <w:t>fab.medeiros1990@gmail.com</w:t>
        </w:r>
      </w:hyperlink>
      <w:r w:rsidR="00C56BE9">
        <w:rPr>
          <w:sz w:val="20"/>
        </w:rPr>
        <w:t xml:space="preserve"> Orcid:</w:t>
      </w:r>
      <w:r w:rsidR="00C56BE9" w:rsidRPr="00C56BE9">
        <w:rPr>
          <w:sz w:val="20"/>
        </w:rPr>
        <w:t xml:space="preserve"> https://orcid.org/0009-0009-8220-0586</w:t>
      </w:r>
      <w:r>
        <w:rPr>
          <w:sz w:val="20"/>
        </w:rPr>
        <w:t xml:space="preserve">.  </w:t>
      </w:r>
    </w:p>
  </w:footnote>
  <w:footnote w:id="2">
    <w:p w14:paraId="365CEF20" w14:textId="77777777" w:rsidR="004C2B39" w:rsidRDefault="004C2B39" w:rsidP="00B63A1B">
      <w:pPr>
        <w:pStyle w:val="Textodenotaderodap"/>
        <w:jc w:val="both"/>
      </w:pPr>
      <w:r>
        <w:rPr>
          <w:rStyle w:val="Refdenotaderodap"/>
          <w:sz w:val="20"/>
        </w:rPr>
        <w:footnoteRef/>
      </w:r>
      <w:r>
        <w:rPr>
          <w:sz w:val="20"/>
        </w:rPr>
        <w:t xml:space="preserve"> </w:t>
      </w:r>
      <w:r w:rsidRPr="00D92F19">
        <w:rPr>
          <w:sz w:val="20"/>
        </w:rPr>
        <w:t>Pós-doutor em Direito Processual Civil pela Universidade do Estado do Rio de Janeiro (UERJ). Doutor e Mestre em Direito pela Universidade Estácio de Sá (UNESA). Juiz Titular da 5ª Vara do Trabalho de Manaus (TRT-11). Professor do Programa de Pós-Graduação em Direito Ambiental da Universidade do Estado do Amazonas (UEA</w:t>
      </w:r>
      <w:r>
        <w:rPr>
          <w:sz w:val="20"/>
        </w:rPr>
        <w:t xml:space="preserve">). </w:t>
      </w:r>
      <w:hyperlink r:id="rId2" w:history="1">
        <w:r w:rsidRPr="00A96B2F">
          <w:rPr>
            <w:rStyle w:val="Hyperlink"/>
            <w:sz w:val="20"/>
          </w:rPr>
          <w:t>mauro-braga@uol.com.br</w:t>
        </w:r>
      </w:hyperlink>
      <w:r w:rsidR="00D37157">
        <w:rPr>
          <w:sz w:val="20"/>
        </w:rPr>
        <w:t xml:space="preserve"> </w:t>
      </w:r>
      <w:r w:rsidR="00D37157" w:rsidRPr="00D37157">
        <w:rPr>
          <w:sz w:val="20"/>
        </w:rPr>
        <w:t>https://orcid.org/0000-0003-2337-7911</w:t>
      </w:r>
      <w:r>
        <w:rPr>
          <w:sz w:val="20"/>
        </w:rPr>
        <w:t xml:space="preserve">.  </w:t>
      </w:r>
    </w:p>
  </w:footnote>
  <w:footnote w:id="3">
    <w:p w14:paraId="264E6EF3" w14:textId="77777777" w:rsidR="00D27A1C" w:rsidRDefault="00D27A1C" w:rsidP="00B63A1B">
      <w:pPr>
        <w:pStyle w:val="Textodenotaderodap"/>
        <w:jc w:val="both"/>
      </w:pPr>
      <w:r>
        <w:rPr>
          <w:rStyle w:val="Refdenotaderodap"/>
          <w:sz w:val="20"/>
        </w:rPr>
        <w:footnoteRef/>
      </w:r>
      <w:r>
        <w:rPr>
          <w:sz w:val="20"/>
        </w:rPr>
        <w:t xml:space="preserve"> </w:t>
      </w:r>
      <w:r>
        <w:rPr>
          <w:sz w:val="20"/>
          <w:shd w:val="clear" w:color="auto" w:fill="FFFFFF"/>
        </w:rPr>
        <w:t xml:space="preserve">Graduação em Direito pelo Centro Universitário de Maringá (2001), mestrado em Direito pela Universidade Gama Filho (2005), é doutor em Ciências Jurídicas pela </w:t>
      </w:r>
      <w:proofErr w:type="spellStart"/>
      <w:r>
        <w:rPr>
          <w:sz w:val="20"/>
          <w:shd w:val="clear" w:color="auto" w:fill="FFFFFF"/>
        </w:rPr>
        <w:t>Universidad</w:t>
      </w:r>
      <w:proofErr w:type="spellEnd"/>
      <w:r>
        <w:rPr>
          <w:sz w:val="20"/>
          <w:shd w:val="clear" w:color="auto" w:fill="FFFFFF"/>
        </w:rPr>
        <w:t xml:space="preserve"> Castilha la Mancha, na Espanha (2014) e Pós-Doutor em Direito Pela Universidade de Santiago de Compostela, na Espanha (2019). </w:t>
      </w:r>
      <w:r>
        <w:rPr>
          <w:sz w:val="20"/>
        </w:rPr>
        <w:t xml:space="preserve"> </w:t>
      </w:r>
      <w:hyperlink r:id="rId3" w:history="1">
        <w:r>
          <w:rPr>
            <w:rStyle w:val="Hyperlink"/>
            <w:sz w:val="20"/>
          </w:rPr>
          <w:t>adrianoferreira@ufam.edu.br</w:t>
        </w:r>
      </w:hyperlink>
      <w:r w:rsidR="009F7592">
        <w:rPr>
          <w:sz w:val="20"/>
        </w:rPr>
        <w:t xml:space="preserve"> </w:t>
      </w:r>
      <w:r w:rsidR="009F7592" w:rsidRPr="009F7592">
        <w:rPr>
          <w:sz w:val="20"/>
        </w:rPr>
        <w:t>https://orcid.org/0000-0001-6208-1430</w:t>
      </w:r>
      <w:r>
        <w:rPr>
          <w:sz w:val="20"/>
        </w:rPr>
        <w:t xml:space="preserve">.  </w:t>
      </w:r>
    </w:p>
  </w:footnote>
  <w:footnote w:id="4">
    <w:p w14:paraId="2A032F54" w14:textId="77777777" w:rsidR="004C2B39" w:rsidRDefault="004C2B39" w:rsidP="00B63A1B">
      <w:pPr>
        <w:pStyle w:val="Textodenotaderodap"/>
        <w:jc w:val="both"/>
      </w:pPr>
      <w:r>
        <w:rPr>
          <w:rStyle w:val="Refdenotaderodap"/>
          <w:sz w:val="20"/>
        </w:rPr>
        <w:footnoteRef/>
      </w:r>
      <w:r>
        <w:rPr>
          <w:sz w:val="20"/>
        </w:rPr>
        <w:t xml:space="preserve"> Orientadora Mestr</w:t>
      </w:r>
      <w:r w:rsidR="007546F2">
        <w:rPr>
          <w:sz w:val="20"/>
        </w:rPr>
        <w:t>anda</w:t>
      </w:r>
      <w:r>
        <w:rPr>
          <w:sz w:val="20"/>
        </w:rPr>
        <w:t xml:space="preserve"> </w:t>
      </w:r>
      <w:r w:rsidR="007546F2">
        <w:rPr>
          <w:sz w:val="20"/>
        </w:rPr>
        <w:t>em</w:t>
      </w:r>
      <w:r>
        <w:rPr>
          <w:sz w:val="20"/>
        </w:rPr>
        <w:t xml:space="preserve"> Direito pelo Centro Universitário </w:t>
      </w:r>
      <w:r w:rsidR="001C0C69">
        <w:rPr>
          <w:sz w:val="20"/>
        </w:rPr>
        <w:t>Estadual do Amazonas</w:t>
      </w:r>
      <w:r>
        <w:rPr>
          <w:sz w:val="20"/>
        </w:rPr>
        <w:t xml:space="preserve">. Manaus, Amazonas. E-mail:  </w:t>
      </w:r>
      <w:hyperlink r:id="rId4" w:history="1">
        <w:r>
          <w:rPr>
            <w:rStyle w:val="Hyperlink"/>
            <w:sz w:val="20"/>
          </w:rPr>
          <w:t>biankacaelli@yahoo.com.br</w:t>
        </w:r>
      </w:hyperlink>
      <w:r w:rsidR="005B0707">
        <w:rPr>
          <w:sz w:val="20"/>
        </w:rPr>
        <w:t xml:space="preserve"> </w:t>
      </w:r>
      <w:r w:rsidR="005B0707" w:rsidRPr="005B0707">
        <w:rPr>
          <w:sz w:val="20"/>
        </w:rPr>
        <w:t>Orcid: https://orcid.org/0009-0003-7953-9526</w:t>
      </w:r>
      <w:r>
        <w:rPr>
          <w:sz w:val="20"/>
        </w:rPr>
        <w:t xml:space="preserve">.  </w:t>
      </w:r>
    </w:p>
  </w:footnote>
  <w:footnote w:id="5">
    <w:p w14:paraId="573B7531" w14:textId="77777777" w:rsidR="004C2B39" w:rsidRDefault="004C2B39" w:rsidP="00B63A1B">
      <w:pPr>
        <w:pStyle w:val="Textodenotaderodap"/>
        <w:jc w:val="both"/>
      </w:pPr>
      <w:r>
        <w:rPr>
          <w:rStyle w:val="Refdenotaderodap"/>
          <w:sz w:val="20"/>
        </w:rPr>
        <w:footnoteRef/>
      </w:r>
      <w:r>
        <w:rPr>
          <w:sz w:val="20"/>
        </w:rPr>
        <w:t xml:space="preserve"> Bacharel no curso de Ciências Contábeis pela </w:t>
      </w:r>
      <w:r w:rsidRPr="003508EA">
        <w:rPr>
          <w:sz w:val="20"/>
        </w:rPr>
        <w:t>Universidade Estácio de Sá</w:t>
      </w:r>
      <w:r>
        <w:rPr>
          <w:sz w:val="20"/>
        </w:rPr>
        <w:t xml:space="preserve">. Manaus, Amazonas. E-mail: </w:t>
      </w:r>
      <w:hyperlink r:id="rId5" w:history="1">
        <w:r w:rsidRPr="00D45911">
          <w:rPr>
            <w:rStyle w:val="Hyperlink"/>
            <w:sz w:val="20"/>
          </w:rPr>
          <w:t>riancarlospereira20@gmail.com</w:t>
        </w:r>
      </w:hyperlink>
      <w:r w:rsidR="00C1491A">
        <w:rPr>
          <w:sz w:val="20"/>
        </w:rPr>
        <w:t xml:space="preserve"> </w:t>
      </w:r>
      <w:r w:rsidR="00C1491A" w:rsidRPr="00C1491A">
        <w:rPr>
          <w:sz w:val="20"/>
        </w:rPr>
        <w:t>https://orcid.org/0009-0003-9273-5302</w:t>
      </w:r>
      <w:r>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F2FCE" w14:textId="77777777" w:rsidR="00C577EB" w:rsidRDefault="00C577EB">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D1A91" w14:textId="77777777" w:rsidR="005547A9" w:rsidRPr="00C577EB" w:rsidRDefault="00000000" w:rsidP="00C577EB">
    <w:pPr>
      <w:spacing w:line="240" w:lineRule="auto"/>
      <w:jc w:val="both"/>
      <w:rPr>
        <w:rFonts w:ascii="Berlin Sans FB Demi" w:hAnsi="Berlin Sans FB Demi" w:cs="Berlin Sans FB Demi"/>
        <w:b/>
        <w:bCs/>
        <w:color w:val="80340D"/>
        <w:sz w:val="32"/>
        <w:szCs w:val="32"/>
      </w:rPr>
    </w:pPr>
    <w:r w:rsidRPr="00C577EB">
      <w:rPr>
        <w:noProof/>
        <w:sz w:val="32"/>
        <w:szCs w:val="24"/>
      </w:rPr>
      <w:drawing>
        <wp:anchor distT="0" distB="0" distL="114935" distR="114935" simplePos="0" relativeHeight="3" behindDoc="1" locked="0" layoutInCell="0" allowOverlap="1" wp14:anchorId="0A182EF4" wp14:editId="5CCE06B4">
          <wp:simplePos x="0" y="0"/>
          <wp:positionH relativeFrom="column">
            <wp:posOffset>-285750</wp:posOffset>
          </wp:positionH>
          <wp:positionV relativeFrom="paragraph">
            <wp:posOffset>-133350</wp:posOffset>
          </wp:positionV>
          <wp:extent cx="514350" cy="514350"/>
          <wp:effectExtent l="0" t="0" r="0" b="0"/>
          <wp:wrapTight wrapText="bothSides">
            <wp:wrapPolygon edited="0">
              <wp:start x="-10" y="0"/>
              <wp:lineTo x="-396" y="792"/>
              <wp:lineTo x="-396" y="19597"/>
              <wp:lineTo x="-10" y="21197"/>
              <wp:lineTo x="21195" y="21197"/>
              <wp:lineTo x="21600" y="19597"/>
              <wp:lineTo x="21600" y="792"/>
              <wp:lineTo x="21195" y="0"/>
              <wp:lineTo x="-10" y="0"/>
            </wp:wrapPolygon>
          </wp:wrapTight>
          <wp:docPr id="1"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5"/>
                  <pic:cNvPicPr>
                    <a:picLocks noChangeAspect="1" noChangeArrowheads="1"/>
                  </pic:cNvPicPr>
                </pic:nvPicPr>
                <pic:blipFill>
                  <a:blip r:embed="rId1"/>
                  <a:srcRect l="-37" t="-37" r="-37" b="-37"/>
                  <a:stretch>
                    <a:fillRect/>
                  </a:stretch>
                </pic:blipFill>
                <pic:spPr bwMode="auto">
                  <a:xfrm>
                    <a:off x="0" y="0"/>
                    <a:ext cx="514350" cy="514350"/>
                  </a:xfrm>
                  <a:prstGeom prst="rect">
                    <a:avLst/>
                  </a:prstGeom>
                  <a:noFill/>
                </pic:spPr>
              </pic:pic>
            </a:graphicData>
          </a:graphic>
        </wp:anchor>
      </w:drawing>
    </w:r>
    <w:r w:rsidRPr="00C577EB">
      <w:rPr>
        <w:noProof/>
        <w:sz w:val="32"/>
        <w:szCs w:val="24"/>
      </w:rPr>
      <mc:AlternateContent>
        <mc:Choice Requires="wps">
          <w:drawing>
            <wp:anchor distT="0" distB="0" distL="114935" distR="114935" simplePos="0" relativeHeight="4" behindDoc="1" locked="0" layoutInCell="0" allowOverlap="1" wp14:anchorId="66E40CD7" wp14:editId="55CD920F">
              <wp:simplePos x="0" y="0"/>
              <wp:positionH relativeFrom="page">
                <wp:posOffset>7663815</wp:posOffset>
              </wp:positionH>
              <wp:positionV relativeFrom="page">
                <wp:posOffset>650875</wp:posOffset>
              </wp:positionV>
              <wp:extent cx="581025" cy="409575"/>
              <wp:effectExtent l="635" t="635" r="0" b="0"/>
              <wp:wrapNone/>
              <wp:docPr id="2" name="Seta: para a Direita 2"/>
              <wp:cNvGraphicFramePr/>
              <a:graphic xmlns:a="http://schemas.openxmlformats.org/drawingml/2006/main">
                <a:graphicData uri="http://schemas.microsoft.com/office/word/2010/wordprocessingShape">
                  <wps:wsp>
                    <wps:cNvSpPr/>
                    <wps:spPr>
                      <a:xfrm rot="10800000">
                        <a:off x="0" y="0"/>
                        <a:ext cx="581040" cy="409680"/>
                      </a:xfrm>
                      <a:prstGeom prst="rightArrow">
                        <a:avLst>
                          <a:gd name="adj1" fmla="val 50278"/>
                          <a:gd name="adj2" fmla="val 52469"/>
                        </a:avLst>
                      </a:prstGeom>
                      <a:solidFill>
                        <a:srgbClr val="C0504D"/>
                      </a:solidFill>
                      <a:ln w="0">
                        <a:noFill/>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w:pict>
            <v:shapetype id="_x0000_t13" coordsize="21600,21600" o:spt="13" adj="10800,10800" path="m0@5l@3@5l@3,l21600,10800l@3,21600l@3@6l0@6xe">
              <v:stroke joinstyle="miter"/>
              <v:formulas>
                <v:f eqn="val 21600"/>
                <v:f eqn="val #1"/>
                <v:f eqn="val #0"/>
                <v:f eqn="sum width 0 @2"/>
                <v:f eqn="prod 1 @1 2"/>
                <v:f eqn="sum 10800 0 @4"/>
                <v:f eqn="sum 10800 @4 0"/>
                <v:f eqn="prod @5 @2 10800"/>
                <v:f eqn="sum @3 @7 0"/>
              </v:formulas>
              <v:path gradientshapeok="t" o:connecttype="rect" textboxrect="0,@5,@8,@6"/>
              <v:handles>
                <v:h position="0,@5"/>
                <v:h position="@3,0"/>
              </v:handles>
            </v:shapetype>
            <v:shape id="shape_0" fillcolor="#c0504d" stroked="f" o:allowincell="f" style="position:absolute;margin-left:603.45pt;margin-top:51.25pt;width:45.7pt;height:32.2pt;mso-wrap-style:none;v-text-anchor:middle;rotation:180;mso-position-horizontal-relative:page;mso-position-vertical-relative:page" type="_x0000_t13">
              <v:textbox>
                <w:txbxContent>
                  <w:p>
                    <w:pPr>
                      <w:overflowPunct w:val="false"/>
                      <w:bidi w:val="0"/>
                      <w:spacing w:lineRule="auto" w:line="360"/>
                      <w:ind w:start="0" w:end="0" w:hanging="0"/>
                      <w:jc w:val="both"/>
                      <w:rPr/>
                    </w:pPr>
                    <w:r>
                      <w:rPr>
                        <w:rFonts w:eastAsia="Noto Sans" w:ascii="Liberation Serif" w:hAnsi="Liberation Serif" w:cs="Noto Sans"/>
                        <w:kern w:val="2"/>
                        <w:szCs w:val="24"/>
                        <w:lang w:bidi="hi-IN" w:val="en-US"/>
                      </w:rPr>
                    </w:r>
                  </w:p>
                </w:txbxContent>
              </v:textbox>
              <v:fill o:detectmouseclick="t" type="solid" color2="#3fafb2"/>
              <v:stroke color="#3465a4" joinstyle="round" endcap="flat"/>
              <w10:wrap type="none"/>
            </v:shape>
          </w:pict>
        </mc:Fallback>
      </mc:AlternateContent>
    </w:r>
    <w:r w:rsidRPr="00C577EB">
      <w:rPr>
        <w:rFonts w:ascii="Berlin Sans FB Demi" w:hAnsi="Berlin Sans FB Demi" w:cs="Berlin Sans FB Demi"/>
        <w:b/>
        <w:bCs/>
        <w:color w:val="80340D"/>
        <w:szCs w:val="32"/>
      </w:rPr>
      <w:t>Revista Buriti: Direito, Sociedade e Sustentabilidade - Amazonidades.</w:t>
    </w:r>
  </w:p>
  <w:p w14:paraId="2DC10FF5" w14:textId="05D6C375" w:rsidR="005547A9" w:rsidRPr="00C577EB" w:rsidRDefault="00000000" w:rsidP="00C577EB">
    <w:pPr>
      <w:widowControl w:val="0"/>
      <w:tabs>
        <w:tab w:val="center" w:pos="4252"/>
        <w:tab w:val="right" w:pos="8504"/>
      </w:tabs>
      <w:autoSpaceDE w:val="0"/>
      <w:spacing w:line="240" w:lineRule="auto"/>
      <w:ind w:left="204" w:right="102"/>
      <w:jc w:val="both"/>
      <w:rPr>
        <w:sz w:val="32"/>
        <w:szCs w:val="24"/>
      </w:rPr>
    </w:pPr>
    <w:r w:rsidRPr="00C577EB">
      <w:rPr>
        <w:rFonts w:ascii="Berlin Sans FB Demi" w:hAnsi="Berlin Sans FB Demi" w:cs="Berlin Sans FB Demi"/>
        <w:b/>
        <w:bCs/>
        <w:color w:val="80340D"/>
        <w:szCs w:val="32"/>
      </w:rPr>
      <w:t xml:space="preserve">ISSN 2595-6795, v. 1, n. 1, 2026. </w:t>
    </w:r>
    <w:r w:rsidR="00C577EB" w:rsidRPr="00C577EB">
      <w:rPr>
        <w:rFonts w:ascii="Berlin Sans FB Demi" w:hAnsi="Berlin Sans FB Demi" w:cs="Berlin Sans FB Demi"/>
        <w:b/>
        <w:bCs/>
        <w:color w:val="80340D"/>
        <w:szCs w:val="32"/>
      </w:rPr>
      <w:t xml:space="preserve">DOI </w:t>
    </w:r>
    <w:hyperlink r:id="rId2" w:history="1">
      <w:r w:rsidR="00C577EB" w:rsidRPr="00C577EB">
        <w:rPr>
          <w:rStyle w:val="Hyperlink"/>
          <w:rFonts w:ascii="Berlin Sans FB Demi" w:hAnsi="Berlin Sans FB Demi" w:cs="Berlin Sans FB Demi"/>
          <w:b/>
          <w:bCs/>
          <w:szCs w:val="32"/>
        </w:rPr>
        <w:t>https://doi.org/ 10.5281/zenodo.23090024</w:t>
      </w:r>
    </w:hyperlink>
  </w:p>
  <w:p w14:paraId="628DF754" w14:textId="77777777" w:rsidR="005547A9" w:rsidRPr="00C577EB" w:rsidRDefault="005547A9">
    <w:pPr>
      <w:spacing w:line="240" w:lineRule="auto"/>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F26D3" w14:textId="77777777" w:rsidR="00C577EB" w:rsidRDefault="00C577E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00ECD"/>
    <w:multiLevelType w:val="multilevel"/>
    <w:tmpl w:val="01D0F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824E7A"/>
    <w:multiLevelType w:val="hybridMultilevel"/>
    <w:tmpl w:val="FFFFFFFF"/>
    <w:lvl w:ilvl="0" w:tplc="EDBA8BBA">
      <w:start w:val="1"/>
      <w:numFmt w:val="bullet"/>
      <w:lvlText w:val="●"/>
      <w:lvlJc w:val="left"/>
      <w:pPr>
        <w:ind w:left="720" w:hanging="360"/>
      </w:pPr>
    </w:lvl>
    <w:lvl w:ilvl="1" w:tplc="D9CE51B0">
      <w:start w:val="1"/>
      <w:numFmt w:val="bullet"/>
      <w:lvlText w:val="○"/>
      <w:lvlJc w:val="left"/>
      <w:pPr>
        <w:ind w:left="1440" w:hanging="360"/>
      </w:pPr>
    </w:lvl>
    <w:lvl w:ilvl="2" w:tplc="38766890">
      <w:start w:val="1"/>
      <w:numFmt w:val="bullet"/>
      <w:lvlText w:val="■"/>
      <w:lvlJc w:val="left"/>
      <w:pPr>
        <w:ind w:left="2160" w:hanging="360"/>
      </w:pPr>
    </w:lvl>
    <w:lvl w:ilvl="3" w:tplc="CDF4A6E4">
      <w:start w:val="1"/>
      <w:numFmt w:val="bullet"/>
      <w:lvlText w:val="●"/>
      <w:lvlJc w:val="left"/>
      <w:pPr>
        <w:ind w:left="2880" w:hanging="360"/>
      </w:pPr>
    </w:lvl>
    <w:lvl w:ilvl="4" w:tplc="E718FF7C">
      <w:start w:val="1"/>
      <w:numFmt w:val="bullet"/>
      <w:lvlText w:val="○"/>
      <w:lvlJc w:val="left"/>
      <w:pPr>
        <w:ind w:left="3600" w:hanging="360"/>
      </w:pPr>
    </w:lvl>
    <w:lvl w:ilvl="5" w:tplc="FD3ECEC6">
      <w:start w:val="1"/>
      <w:numFmt w:val="bullet"/>
      <w:lvlText w:val="■"/>
      <w:lvlJc w:val="left"/>
      <w:pPr>
        <w:ind w:left="4320" w:hanging="360"/>
      </w:pPr>
    </w:lvl>
    <w:lvl w:ilvl="6" w:tplc="3EDCD04E">
      <w:start w:val="1"/>
      <w:numFmt w:val="bullet"/>
      <w:lvlText w:val="●"/>
      <w:lvlJc w:val="left"/>
      <w:pPr>
        <w:ind w:left="5040" w:hanging="360"/>
      </w:pPr>
    </w:lvl>
    <w:lvl w:ilvl="7" w:tplc="E976ED7C">
      <w:start w:val="1"/>
      <w:numFmt w:val="bullet"/>
      <w:lvlText w:val="●"/>
      <w:lvlJc w:val="left"/>
      <w:pPr>
        <w:ind w:left="5760" w:hanging="360"/>
      </w:pPr>
    </w:lvl>
    <w:lvl w:ilvl="8" w:tplc="3454C066">
      <w:start w:val="1"/>
      <w:numFmt w:val="bullet"/>
      <w:lvlText w:val="●"/>
      <w:lvlJc w:val="left"/>
      <w:pPr>
        <w:ind w:left="6480" w:hanging="360"/>
      </w:pPr>
    </w:lvl>
  </w:abstractNum>
  <w:abstractNum w:abstractNumId="2" w15:restartNumberingAfterBreak="0">
    <w:nsid w:val="78227EF2"/>
    <w:multiLevelType w:val="multilevel"/>
    <w:tmpl w:val="9EF80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20473298">
    <w:abstractNumId w:val="1"/>
    <w:lvlOverride w:ilvl="0">
      <w:startOverride w:val="1"/>
    </w:lvlOverride>
  </w:num>
  <w:num w:numId="2" w16cid:durableId="371996701">
    <w:abstractNumId w:val="2"/>
  </w:num>
  <w:num w:numId="3" w16cid:durableId="13847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2B9"/>
    <w:rsid w:val="0000597F"/>
    <w:rsid w:val="00062BE8"/>
    <w:rsid w:val="00087E0A"/>
    <w:rsid w:val="000B21C0"/>
    <w:rsid w:val="000C593C"/>
    <w:rsid w:val="000C660C"/>
    <w:rsid w:val="000E77FF"/>
    <w:rsid w:val="000F2C20"/>
    <w:rsid w:val="000F5CDE"/>
    <w:rsid w:val="001372E4"/>
    <w:rsid w:val="001627D2"/>
    <w:rsid w:val="00173BB9"/>
    <w:rsid w:val="001759F7"/>
    <w:rsid w:val="001A1006"/>
    <w:rsid w:val="001C0C69"/>
    <w:rsid w:val="001D5F27"/>
    <w:rsid w:val="00236DC0"/>
    <w:rsid w:val="00250D14"/>
    <w:rsid w:val="0028161E"/>
    <w:rsid w:val="00293071"/>
    <w:rsid w:val="002A0825"/>
    <w:rsid w:val="002A4207"/>
    <w:rsid w:val="002C519C"/>
    <w:rsid w:val="00300934"/>
    <w:rsid w:val="00302BAF"/>
    <w:rsid w:val="00315D0A"/>
    <w:rsid w:val="00325423"/>
    <w:rsid w:val="00330838"/>
    <w:rsid w:val="00336A6A"/>
    <w:rsid w:val="003406DA"/>
    <w:rsid w:val="00371B05"/>
    <w:rsid w:val="00383C0F"/>
    <w:rsid w:val="003872B9"/>
    <w:rsid w:val="003941F1"/>
    <w:rsid w:val="00395022"/>
    <w:rsid w:val="003A73A6"/>
    <w:rsid w:val="003B50FD"/>
    <w:rsid w:val="00425AAF"/>
    <w:rsid w:val="00446313"/>
    <w:rsid w:val="00461402"/>
    <w:rsid w:val="004671C5"/>
    <w:rsid w:val="00467AA8"/>
    <w:rsid w:val="00494E25"/>
    <w:rsid w:val="00496CDB"/>
    <w:rsid w:val="004A5EAB"/>
    <w:rsid w:val="004C0294"/>
    <w:rsid w:val="004C2B39"/>
    <w:rsid w:val="004E0D88"/>
    <w:rsid w:val="00544B5C"/>
    <w:rsid w:val="005547A9"/>
    <w:rsid w:val="0056613B"/>
    <w:rsid w:val="0059298A"/>
    <w:rsid w:val="005B0707"/>
    <w:rsid w:val="005E46FB"/>
    <w:rsid w:val="00614EFD"/>
    <w:rsid w:val="006364B8"/>
    <w:rsid w:val="00646C5B"/>
    <w:rsid w:val="00691982"/>
    <w:rsid w:val="00692AED"/>
    <w:rsid w:val="006A0520"/>
    <w:rsid w:val="006D6DC4"/>
    <w:rsid w:val="00710391"/>
    <w:rsid w:val="00716E0E"/>
    <w:rsid w:val="0073353F"/>
    <w:rsid w:val="007546F2"/>
    <w:rsid w:val="00764231"/>
    <w:rsid w:val="007A21F9"/>
    <w:rsid w:val="007A7DD1"/>
    <w:rsid w:val="007B5515"/>
    <w:rsid w:val="008338CA"/>
    <w:rsid w:val="00882A50"/>
    <w:rsid w:val="00890F27"/>
    <w:rsid w:val="008C1638"/>
    <w:rsid w:val="008E78E7"/>
    <w:rsid w:val="00902913"/>
    <w:rsid w:val="00922931"/>
    <w:rsid w:val="00924575"/>
    <w:rsid w:val="00941842"/>
    <w:rsid w:val="00977860"/>
    <w:rsid w:val="00986A1B"/>
    <w:rsid w:val="009D6A2E"/>
    <w:rsid w:val="009D7923"/>
    <w:rsid w:val="009F0C27"/>
    <w:rsid w:val="009F5F36"/>
    <w:rsid w:val="009F7592"/>
    <w:rsid w:val="00A07D68"/>
    <w:rsid w:val="00A33A4F"/>
    <w:rsid w:val="00A50495"/>
    <w:rsid w:val="00A93FA2"/>
    <w:rsid w:val="00A95054"/>
    <w:rsid w:val="00AA2FCE"/>
    <w:rsid w:val="00AB3AB8"/>
    <w:rsid w:val="00AC73F5"/>
    <w:rsid w:val="00B22ED1"/>
    <w:rsid w:val="00B63A1B"/>
    <w:rsid w:val="00B72087"/>
    <w:rsid w:val="00B72A01"/>
    <w:rsid w:val="00B77E1E"/>
    <w:rsid w:val="00B81FFD"/>
    <w:rsid w:val="00B948F1"/>
    <w:rsid w:val="00BC0BBE"/>
    <w:rsid w:val="00C1087A"/>
    <w:rsid w:val="00C1491A"/>
    <w:rsid w:val="00C47A94"/>
    <w:rsid w:val="00C5257E"/>
    <w:rsid w:val="00C56BE9"/>
    <w:rsid w:val="00C577EB"/>
    <w:rsid w:val="00C610C3"/>
    <w:rsid w:val="00C64210"/>
    <w:rsid w:val="00CD2FEF"/>
    <w:rsid w:val="00D15B3E"/>
    <w:rsid w:val="00D27A1C"/>
    <w:rsid w:val="00D37157"/>
    <w:rsid w:val="00D6171D"/>
    <w:rsid w:val="00D637A7"/>
    <w:rsid w:val="00D66726"/>
    <w:rsid w:val="00D87B85"/>
    <w:rsid w:val="00D930C4"/>
    <w:rsid w:val="00E07472"/>
    <w:rsid w:val="00E97434"/>
    <w:rsid w:val="00EF4A8C"/>
    <w:rsid w:val="00F14C63"/>
    <w:rsid w:val="00F20547"/>
    <w:rsid w:val="00F21A4D"/>
    <w:rsid w:val="00F30146"/>
    <w:rsid w:val="00F36579"/>
    <w:rsid w:val="00F521F7"/>
    <w:rsid w:val="00FA5E4F"/>
    <w:rsid w:val="00FB306E"/>
    <w:rsid w:val="00FD25E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52841"/>
  <w15:docId w15:val="{7559ABC9-2D42-BB4B-9FB3-E8F21AFAB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60" w:lineRule="auto"/>
    </w:pPr>
    <w:rPr>
      <w:color w:val="000000"/>
      <w:sz w:val="24"/>
    </w:rPr>
  </w:style>
  <w:style w:type="paragraph" w:styleId="Ttulo1">
    <w:name w:val="heading 1"/>
    <w:uiPriority w:val="9"/>
    <w:qFormat/>
    <w:pPr>
      <w:outlineLvl w:val="0"/>
    </w:pPr>
    <w:rPr>
      <w:color w:val="000000"/>
      <w:sz w:val="24"/>
      <w:szCs w:val="32"/>
    </w:rPr>
  </w:style>
  <w:style w:type="paragraph" w:styleId="Ttulo2">
    <w:name w:val="heading 2"/>
    <w:uiPriority w:val="9"/>
    <w:unhideWhenUsed/>
    <w:qFormat/>
    <w:pPr>
      <w:outlineLvl w:val="1"/>
    </w:pPr>
    <w:rPr>
      <w:color w:val="000000"/>
      <w:sz w:val="24"/>
      <w:szCs w:val="26"/>
    </w:rPr>
  </w:style>
  <w:style w:type="paragraph" w:styleId="Ttulo3">
    <w:name w:val="heading 3"/>
    <w:uiPriority w:val="9"/>
    <w:semiHidden/>
    <w:unhideWhenUsed/>
    <w:qFormat/>
    <w:pPr>
      <w:outlineLvl w:val="2"/>
    </w:pPr>
    <w:rPr>
      <w:color w:val="000000"/>
      <w:sz w:val="24"/>
      <w:szCs w:val="24"/>
    </w:rPr>
  </w:style>
  <w:style w:type="paragraph" w:styleId="Ttulo4">
    <w:name w:val="heading 4"/>
    <w:uiPriority w:val="9"/>
    <w:semiHidden/>
    <w:unhideWhenUsed/>
    <w:qFormat/>
    <w:pPr>
      <w:outlineLvl w:val="3"/>
    </w:pPr>
    <w:rPr>
      <w:i/>
      <w:iCs/>
      <w:color w:val="000000"/>
      <w:sz w:val="24"/>
    </w:rPr>
  </w:style>
  <w:style w:type="paragraph" w:styleId="Ttulo5">
    <w:name w:val="heading 5"/>
    <w:uiPriority w:val="9"/>
    <w:semiHidden/>
    <w:unhideWhenUsed/>
    <w:qFormat/>
    <w:pPr>
      <w:outlineLvl w:val="4"/>
    </w:pPr>
    <w:rPr>
      <w:color w:val="000000"/>
      <w:sz w:val="24"/>
    </w:rPr>
  </w:style>
  <w:style w:type="paragraph" w:styleId="Ttulo6">
    <w:name w:val="heading 6"/>
    <w:uiPriority w:val="9"/>
    <w:semiHidden/>
    <w:unhideWhenUsed/>
    <w:qFormat/>
    <w:pPr>
      <w:outlineLvl w:val="5"/>
    </w:pPr>
    <w:rPr>
      <w:color w:val="000000"/>
      <w:sz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uiPriority w:val="10"/>
    <w:qFormat/>
    <w:rPr>
      <w:color w:val="000000"/>
      <w:sz w:val="24"/>
      <w:szCs w:val="56"/>
    </w:rPr>
  </w:style>
  <w:style w:type="paragraph" w:customStyle="1" w:styleId="Forte1">
    <w:name w:val="Forte1"/>
    <w:qFormat/>
    <w:rPr>
      <w:b/>
      <w:bCs/>
      <w:color w:val="000000"/>
      <w:sz w:val="24"/>
    </w:rPr>
  </w:style>
  <w:style w:type="paragraph" w:styleId="PargrafodaLista">
    <w:name w:val="List Paragraph"/>
    <w:qFormat/>
    <w:rPr>
      <w:color w:val="000000"/>
      <w:sz w:val="24"/>
    </w:rPr>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har"/>
    <w:uiPriority w:val="99"/>
    <w:semiHidden/>
    <w:unhideWhenUsed/>
    <w:rPr>
      <w:color w:val="000000"/>
      <w:sz w:val="24"/>
    </w:rPr>
  </w:style>
  <w:style w:type="character" w:customStyle="1" w:styleId="TextodenotaderodapChar">
    <w:name w:val="Texto de nota de rodapé Cha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link w:val="TextodenotadefimChar"/>
    <w:uiPriority w:val="99"/>
    <w:semiHidden/>
    <w:unhideWhenUsed/>
    <w:rPr>
      <w:color w:val="000000"/>
      <w:sz w:val="24"/>
    </w:rPr>
  </w:style>
  <w:style w:type="character" w:customStyle="1" w:styleId="TextodenotadefimChar">
    <w:name w:val="Texto de nota de fim Char"/>
    <w:link w:val="Textodenotadefim"/>
    <w:uiPriority w:val="99"/>
    <w:semiHidden/>
    <w:unhideWhenUsed/>
    <w:rPr>
      <w:sz w:val="20"/>
      <w:szCs w:val="20"/>
    </w:rPr>
  </w:style>
  <w:style w:type="character" w:styleId="MenoPendente">
    <w:name w:val="Unresolved Mention"/>
    <w:basedOn w:val="Fontepargpadro"/>
    <w:uiPriority w:val="99"/>
    <w:semiHidden/>
    <w:unhideWhenUsed/>
    <w:rsid w:val="00236DC0"/>
    <w:rPr>
      <w:color w:val="605E5C"/>
      <w:shd w:val="clear" w:color="auto" w:fill="E1DFDD"/>
    </w:rPr>
  </w:style>
  <w:style w:type="paragraph" w:styleId="Cabealho">
    <w:name w:val="header"/>
    <w:basedOn w:val="Normal"/>
    <w:link w:val="CabealhoChar"/>
    <w:uiPriority w:val="99"/>
    <w:unhideWhenUsed/>
    <w:rsid w:val="00C577EB"/>
    <w:pPr>
      <w:tabs>
        <w:tab w:val="center" w:pos="4252"/>
        <w:tab w:val="right" w:pos="8504"/>
      </w:tabs>
      <w:spacing w:line="240" w:lineRule="auto"/>
    </w:pPr>
  </w:style>
  <w:style w:type="character" w:customStyle="1" w:styleId="CabealhoChar">
    <w:name w:val="Cabeçalho Char"/>
    <w:basedOn w:val="Fontepargpadro"/>
    <w:link w:val="Cabealho"/>
    <w:uiPriority w:val="99"/>
    <w:rsid w:val="00C577EB"/>
    <w:rPr>
      <w:color w:val="000000"/>
      <w:sz w:val="24"/>
    </w:rPr>
  </w:style>
  <w:style w:type="paragraph" w:styleId="Rodap">
    <w:name w:val="footer"/>
    <w:basedOn w:val="Normal"/>
    <w:link w:val="RodapChar"/>
    <w:uiPriority w:val="99"/>
    <w:unhideWhenUsed/>
    <w:rsid w:val="00C577EB"/>
    <w:pPr>
      <w:tabs>
        <w:tab w:val="center" w:pos="4252"/>
        <w:tab w:val="right" w:pos="8504"/>
      </w:tabs>
      <w:spacing w:line="240" w:lineRule="auto"/>
    </w:pPr>
  </w:style>
  <w:style w:type="character" w:customStyle="1" w:styleId="RodapChar">
    <w:name w:val="Rodapé Char"/>
    <w:basedOn w:val="Fontepargpadro"/>
    <w:link w:val="Rodap"/>
    <w:uiPriority w:val="99"/>
    <w:rsid w:val="00C577EB"/>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footnotes.xml.rels><?xml version="1.0" encoding="UTF-8" standalone="yes"?>
<Relationships xmlns="http://schemas.openxmlformats.org/package/2006/relationships"><Relationship Id="rId3" Type="http://schemas.openxmlformats.org/officeDocument/2006/relationships/hyperlink" Target="mailto:adrianoferreira@ufam.edu.br" TargetMode="External"/><Relationship Id="rId2" Type="http://schemas.openxmlformats.org/officeDocument/2006/relationships/hyperlink" Target="mailto:mauro-braga@uol.com.br" TargetMode="External"/><Relationship Id="rId1" Type="http://schemas.openxmlformats.org/officeDocument/2006/relationships/hyperlink" Target="mailto:fab.medeiros1990@gmail.com" TargetMode="External"/><Relationship Id="rId5" Type="http://schemas.openxmlformats.org/officeDocument/2006/relationships/hyperlink" Target="mailto:riancarlospereira20@gmail.com" TargetMode="External"/><Relationship Id="rId4" Type="http://schemas.openxmlformats.org/officeDocument/2006/relationships/hyperlink" Target="mailto:biankacaelli@yahoo.com.br"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s://doi.org/%2010.5281/zenodo.23090024"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20</Pages>
  <Words>7933</Words>
  <Characters>42841</Characters>
  <Application>Microsoft Office Word</Application>
  <DocSecurity>0</DocSecurity>
  <Lines>357</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Carla CRISTINA Alves Torquato Cavalcanti</cp:lastModifiedBy>
  <cp:revision>65</cp:revision>
  <dcterms:created xsi:type="dcterms:W3CDTF">2026-08-13T17:32:00Z</dcterms:created>
  <dcterms:modified xsi:type="dcterms:W3CDTF">2026-10-01T19:52:00Z</dcterms:modified>
</cp:coreProperties>
</file>